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w:t>
      </w:r>
      <w:r>
        <w:t xml:space="preserve"> </w:t>
      </w:r>
      <w:r>
        <w:t xml:space="preserve">Strategy</w:t>
      </w:r>
      <w:r>
        <w:t xml:space="preserve"> </w:t>
      </w:r>
      <w:r>
        <w:t xml:space="preserve">for</w:t>
      </w:r>
      <w:r>
        <w:t xml:space="preserve"> </w:t>
      </w:r>
      <w:r>
        <w:t xml:space="preserve">the</w:t>
      </w:r>
      <w:r>
        <w:t xml:space="preserve"> </w:t>
      </w:r>
      <w:r>
        <w:t xml:space="preserve">Israeli</w:t>
      </w:r>
      <w:r>
        <w:t xml:space="preserve"> </w:t>
      </w:r>
      <w:r>
        <w:t xml:space="preserve">Market</w:t>
      </w:r>
    </w:p>
    <w:bookmarkStart w:id="29" w:name="project-report"/>
    <w:p>
      <w:pPr>
        <w:pStyle w:val="Heading1"/>
      </w:pPr>
      <w:r>
        <w:rPr>
          <w:bCs/>
          <w:b/>
        </w:rP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Stakeholders and Product Management Teams</w:t>
      </w:r>
      <w:r>
        <w:br/>
      </w:r>
      <w:r>
        <w:rPr>
          <w:bCs/>
          <w:b/>
        </w:rPr>
        <w:t xml:space="preserve">From:</w:t>
      </w:r>
      <w:r>
        <w:t xml:space="preserve"> </w:t>
      </w:r>
      <w:r>
        <w:t xml:space="preserve">UX Research &amp; Strategy Division</w:t>
      </w:r>
      <w:r>
        <w:br/>
      </w:r>
      <w:r>
        <w:rPr>
          <w:iCs/>
          <w:i/>
          <w:vertAlign w:val="subscript"/>
        </w:rPr>
        <w:t xml:space="preserve">Note: This document adheres strictly to the requirement that all content is written in English.</w:t>
      </w:r>
    </w:p>
    <w:p>
      <w:pPr>
        <w:pStyle w:val="BodyText"/>
      </w:pPr>
      <w:r>
        <w:br/>
      </w:r>
    </w:p>
    <w:p>
      <w:pPr>
        <w:pStyle w:val="BodyText"/>
      </w:pPr>
      <w:r>
        <w:t xml:space="preserve">This comprehensive Project Report outlines the strategic necessity and operational framework for integrating a specialized</w:t>
      </w:r>
      <w:r>
        <w:t xml:space="preserve"> </w:t>
      </w:r>
      <w:r>
        <w:rPr>
          <w:bCs/>
          <w:b/>
        </w:rPr>
        <w:t xml:space="preserve">UX/UI Designer</w:t>
      </w:r>
      <w:r>
        <w:t xml:space="preserve"> </w:t>
      </w:r>
      <w:r>
        <w:t xml:space="preserve">profile into our organizational structure, with a specific focus on expanding our digital footprint in</w:t>
      </w:r>
      <w:r>
        <w:t xml:space="preserve"> </w:t>
      </w:r>
      <w:r>
        <w:rPr>
          <w:bCs/>
          <w:b/>
        </w:rPr>
        <w:t xml:space="preserve">Israel Jerusalem</w:t>
      </w:r>
      <w:r>
        <w:t xml:space="preserve">. As global markets become increasingly saturated, the ability to connect with local user bases through culturally resonant design is no longer optional; it is a fundamental business imperative. This report details how leveraging high-level UX/UI expertise will facilitate successful market penetration, enhance user retention, and drive revenue growth within this unique geopolitical and cultural hub.</w:t>
      </w:r>
    </w:p>
    <w:bookmarkStart w:id="20" w:name="executive-summary"/>
    <w:p>
      <w:pPr>
        <w:pStyle w:val="Heading2"/>
      </w:pPr>
      <w:r>
        <w:t xml:space="preserve">1. Executive Summary</w:t>
      </w:r>
    </w:p>
    <w:p>
      <w:pPr>
        <w:pStyle w:val="FirstParagraph"/>
      </w:pPr>
      <w:r>
        <w:t xml:space="preserve">The digital landscape in</w:t>
      </w:r>
      <w:r>
        <w:t xml:space="preserve"> </w:t>
      </w:r>
      <w:r>
        <w:rPr>
          <w:bCs/>
          <w:b/>
        </w:rPr>
        <w:t xml:space="preserve">Israel Jerusalem</w:t>
      </w:r>
      <w:r>
        <w:t xml:space="preserve"> </w:t>
      </w:r>
      <w:r>
        <w:t xml:space="preserve">is characterized by a highly tech-savvy population with high expectations for seamless mobile experiences. The region serves as a critical nexus between European, Middle Eastern, and global markets. However, generic design solutions often fail to resonate with the local demographic due to linguistic nuances and cultural distinctiveness. This report proposes the immediate engagement of a senior</w:t>
      </w:r>
      <w:r>
        <w:t xml:space="preserve"> </w:t>
      </w:r>
      <w:r>
        <w:rPr>
          <w:bCs/>
          <w:b/>
        </w:rPr>
        <w:t xml:space="preserve">UX/UI Designer</w:t>
      </w:r>
      <w:r>
        <w:t xml:space="preserve"> </w:t>
      </w:r>
      <w:r>
        <w:t xml:space="preserve">dedicated to tailoring our product ecosystem for this audience. The goal is to reduce churn rates by 15% and increase user engagement metrics within six months of implementation.</w:t>
      </w:r>
    </w:p>
    <w:bookmarkEnd w:id="20"/>
    <w:bookmarkStart w:id="21" w:name="X21ae979c8bb3f64a1a3044c2c5ada5cf0b08b5c"/>
    <w:p>
      <w:pPr>
        <w:pStyle w:val="Heading2"/>
      </w:pPr>
      <w:r>
        <w:t xml:space="preserve">2. Market Context: The Significance of Israel Jerusalem</w:t>
      </w:r>
    </w:p>
    <w:p>
      <w:pPr>
        <w:pStyle w:val="FirstParagraph"/>
      </w:pPr>
      <w:r>
        <w:rPr>
          <w:bCs/>
          <w:b/>
        </w:rPr>
        <w:t xml:space="preserve">Israel Jerusalem</w:t>
      </w:r>
      <w:r>
        <w:t xml:space="preserve"> </w:t>
      </w:r>
      <w:r>
        <w:t xml:space="preserve">is not merely a geographic location; it is a dynamic ecosystem that combines ancient tradition with cutting-edge technological innovation. The city acts as the capital's administrative and cultural heart, hosting a diverse mix of secular, religious, and ultra-Orthodox populations. Each subgroup has distinct digital behaviors:</w:t>
      </w:r>
    </w:p>
    <w:p>
      <w:pPr>
        <w:numPr>
          <w:ilvl w:val="0"/>
          <w:numId w:val="1001"/>
        </w:numPr>
        <w:pStyle w:val="Compact"/>
      </w:pPr>
      <w:r>
        <w:rPr>
          <w:bCs/>
          <w:b/>
        </w:rPr>
        <w:t xml:space="preserve">The Tech Sector:</w:t>
      </w:r>
      <w:r>
        <w:t xml:space="preserve"> </w:t>
      </w:r>
      <w:r>
        <w:t xml:space="preserve">A significant portion of the population is engaged in high-tech industries, requiring modern, minimalist interfaces similar to Silicon Valley standards.</w:t>
      </w:r>
    </w:p>
    <w:p>
      <w:pPr>
        <w:numPr>
          <w:ilvl w:val="0"/>
          <w:numId w:val="1001"/>
        </w:numPr>
        <w:pStyle w:val="Compact"/>
      </w:pPr>
      <w:r>
        <w:rPr>
          <w:bCs/>
          <w:b/>
        </w:rPr>
        <w:t xml:space="preserve">The Religious Community:</w:t>
      </w:r>
      <w:r>
        <w:t xml:space="preserve"> </w:t>
      </w:r>
      <w:r>
        <w:t xml:space="preserve">For ultra-Orthodox and strictly religious users, accessibility features such as Shabbat modes (automatic disabling of certain functions during Jewish Sabbath hours) are not just conveniences but necessities for inclusion.</w:t>
      </w:r>
    </w:p>
    <w:p>
      <w:pPr>
        <w:numPr>
          <w:ilvl w:val="0"/>
          <w:numId w:val="1001"/>
        </w:numPr>
        <w:pStyle w:val="Compact"/>
      </w:pPr>
      <w:r>
        <w:rPr>
          <w:bCs/>
          <w:b/>
        </w:rPr>
        <w:t xml:space="preserve">Tourism and Commerce:</w:t>
      </w:r>
      <w:r>
        <w:t xml:space="preserve"> </w:t>
      </w:r>
      <w:r>
        <w:t xml:space="preserve">As a global tourist destination, the city attracts international visitors who require multi-lingual support and intuitive navigation systems.</w:t>
      </w:r>
    </w:p>
    <w:p>
      <w:pPr>
        <w:pStyle w:val="FirstParagraph"/>
      </w:pPr>
      <w:r>
        <w:t xml:space="preserve">Navigating this complex tapestry requires more than just translation; it requires deep cultural empathy. This is where the role of the</w:t>
      </w:r>
      <w:r>
        <w:t xml:space="preserve"> </w:t>
      </w:r>
      <w:r>
        <w:rPr>
          <w:bCs/>
          <w:b/>
        </w:rPr>
        <w:t xml:space="preserve">UX/UI Designer</w:t>
      </w:r>
      <w:r>
        <w:t xml:space="preserve"> </w:t>
      </w:r>
      <w:r>
        <w:t xml:space="preserve">becomes pivotal in bridging the gap between our global brand identity and local user needs.</w:t>
      </w:r>
    </w:p>
    <w:bookmarkEnd w:id="21"/>
    <w:bookmarkStart w:id="25" w:name="X91adca5d0ad800170646edc7bcdafe66557177b"/>
    <w:p>
      <w:pPr>
        <w:pStyle w:val="Heading2"/>
      </w:pPr>
      <w:r>
        <w:t xml:space="preserve">3. The Role of the UX/UI Designer in Local Adaptation</w:t>
      </w:r>
    </w:p>
    <w:p>
      <w:pPr>
        <w:pStyle w:val="FirstParagraph"/>
      </w:pPr>
      <w:r>
        <w:t xml:space="preserve">The primary objective of hiring a dedicated</w:t>
      </w:r>
      <w:r>
        <w:t xml:space="preserve"> </w:t>
      </w:r>
      <w:r>
        <w:rPr>
          <w:bCs/>
          <w:b/>
        </w:rPr>
        <w:t xml:space="preserve">UX/UI Designer</w:t>
      </w:r>
    </w:p>
    <w:bookmarkStart w:id="22" w:name="a.-cultural-relevance-and-inclusivity"/>
    <w:p>
      <w:pPr>
        <w:pStyle w:val="Heading3"/>
      </w:pPr>
      <w:r>
        <w:t xml:space="preserve">A. Cultural Relevance and Inclusivity</w:t>
      </w:r>
    </w:p>
    <w:p>
      <w:pPr>
        <w:pStyle w:val="FirstParagraph"/>
      </w:pPr>
      <w:r>
        <w:t xml:space="preserve">In</w:t>
      </w:r>
      <w:r>
        <w:t xml:space="preserve"> </w:t>
      </w:r>
      <w:r>
        <w:rPr>
          <w:bCs/>
          <w:b/>
        </w:rPr>
        <w:t xml:space="preserve">Israel Jerusalem</w:t>
      </w:r>
      <w:r>
        <w:t xml:space="preserve">, visual cues, color psychology, and iconography carry different weights than in Western Europe or North America. A skilled</w:t>
      </w:r>
      <w:r>
        <w:t xml:space="preserve"> </w:t>
      </w:r>
      <w:r>
        <w:rPr>
          <w:bCs/>
          <w:b/>
        </w:rPr>
        <w:t xml:space="preserve">UX/UI Designer</w:t>
      </w:r>
      <w:r>
        <w:t xml:space="preserve"> </w:t>
      </w:r>
      <w:r>
        <w:t xml:space="preserve">will audit our current assets to ensure they are inclusive of local sensibilities. For instance, imagery must reflect the diversity of the population without offending religious sentiments. Furthermore, navigation structures should account for local landmarks and transit systems specific to Jerusalem, such as the light rail network or pedestrian zones in the Old City.</w:t>
      </w:r>
    </w:p>
    <w:bookmarkEnd w:id="22"/>
    <w:bookmarkStart w:id="23" w:name="b.-linguistic-precision-and-layout"/>
    <w:p>
      <w:pPr>
        <w:pStyle w:val="Heading3"/>
      </w:pPr>
      <w:r>
        <w:t xml:space="preserve">B. Linguistic Precision and Layout</w:t>
      </w:r>
    </w:p>
    <w:p>
      <w:pPr>
        <w:pStyle w:val="FirstParagraph"/>
      </w:pPr>
      <w:r>
        <w:t xml:space="preserve">While English is widely spoken in</w:t>
      </w:r>
      <w:r>
        <w:t xml:space="preserve"> </w:t>
      </w:r>
      <w:r>
        <w:rPr>
          <w:bCs/>
          <w:b/>
        </w:rPr>
        <w:t xml:space="preserve">Israel Jerusalem</w:t>
      </w:r>
      <w:r>
        <w:t xml:space="preserve">, Hebrew is the primary language of commerce and daily life. Designing for Hebrew requires a fundamental shift from left-to-right (LTR) to right-to-left (RTL) layout logic. A generic translation often breaks UI layouts, causing overlap and readability issues. An expert</w:t>
      </w:r>
      <w:r>
        <w:t xml:space="preserve"> </w:t>
      </w:r>
      <w:r>
        <w:rPr>
          <w:bCs/>
          <w:b/>
        </w:rPr>
        <w:t xml:space="preserve">UX/UI Designer</w:t>
      </w:r>
      <w:r>
        <w:t xml:space="preserve"> </w:t>
      </w:r>
      <w:r>
        <w:t xml:space="preserve">will ensure that our interfaces dynamically adapt to RTL standards, maintaining visual hierarchy and usability regardless of the selected language.</w:t>
      </w:r>
    </w:p>
    <w:bookmarkEnd w:id="23"/>
    <w:bookmarkStart w:id="24" w:name="c.-accessibility-standards"/>
    <w:p>
      <w:pPr>
        <w:pStyle w:val="Heading3"/>
      </w:pPr>
      <w:r>
        <w:t xml:space="preserve">C. Accessibility Standards</w:t>
      </w:r>
    </w:p>
    <w:p>
      <w:pPr>
        <w:pStyle w:val="FirstParagraph"/>
      </w:pPr>
      <w:r>
        <w:t xml:space="preserve">Judicial regulations in Israel have strengthened accessibility requirements for digital services. The designer will ensure compliance with WCAG (Web Content Accessibility Guidelines) tailored for local disabilities, including auditory and visual impairments that may be prevalent in specific demographic clusters within the city.</w:t>
      </w:r>
    </w:p>
    <w:bookmarkEnd w:id="24"/>
    <w:bookmarkEnd w:id="25"/>
    <w:bookmarkStart w:id="26" w:name="strategic-implementation-plan"/>
    <w:p>
      <w:pPr>
        <w:pStyle w:val="Heading2"/>
      </w:pPr>
      <w:r>
        <w:t xml:space="preserve">4. Strategic Implementation Plan</w:t>
      </w:r>
    </w:p>
    <w:p>
      <w:pPr>
        <w:pStyle w:val="FirstParagraph"/>
      </w:pPr>
      <w:r>
        <w:t xml:space="preserve">To achieve our goals, the project will be executed in three phases over a six-month period:</w:t>
      </w:r>
    </w:p>
    <w:p>
      <w:pPr>
        <w:numPr>
          <w:ilvl w:val="0"/>
          <w:numId w:val="1002"/>
        </w:numPr>
        <w:pStyle w:val="Compact"/>
      </w:pPr>
      <w:r>
        <w:rPr>
          <w:bCs/>
          <w:b/>
        </w:rPr>
        <w:t xml:space="preserve">Audit Phase (Weeks 1-4):</w:t>
      </w:r>
      <w:r>
        <w:t xml:space="preserve"> </w:t>
      </w:r>
      <w:r>
        <w:t xml:space="preserve">The</w:t>
      </w:r>
      <w:r>
        <w:t xml:space="preserve"> </w:t>
      </w:r>
      <w:r>
        <w:rPr>
          <w:bCs/>
          <w:b/>
        </w:rPr>
        <w:t xml:space="preserve">UX/UI Designer</w:t>
      </w:r>
      <w:r>
        <w:t xml:space="preserve"> </w:t>
      </w:r>
      <w:r>
        <w:t xml:space="preserve">will perform a heuristic evaluation of existing platforms against competitors in</w:t>
      </w:r>
    </w:p>
    <w:p>
      <w:pPr>
        <w:numPr>
          <w:ilvl w:val="0"/>
          <w:numId w:val="1000"/>
        </w:numPr>
        <w:pStyle w:val="Compact"/>
      </w:pPr>
      <w:r>
        <w:t xml:space="preserve">Israel Jerusalem</w:t>
      </w:r>
    </w:p>
    <w:p>
      <w:pPr>
        <w:numPr>
          <w:ilvl w:val="0"/>
          <w:numId w:val="1002"/>
        </w:numPr>
        <w:pStyle w:val="Compact"/>
      </w:pPr>
      <w:r>
        <w:rPr>
          <w:bCs/>
          <w:b/>
        </w:rPr>
        <w:t xml:space="preserve">Design Phase (Weeks 5-12):</w:t>
      </w:r>
      <w:r>
        <w:t xml:space="preserve"> </w:t>
      </w:r>
      <w:r>
        <w:t xml:space="preserve">Based on audit findings, the designer will create high-fidelity mockups incorporating RTL layouts and culturally relevant imagery. Prototypes will be tested via remote sessions with users in Jerusalem.</w:t>
      </w:r>
    </w:p>
    <w:p>
      <w:pPr>
        <w:numPr>
          <w:ilvl w:val="0"/>
          <w:numId w:val="1002"/>
        </w:numPr>
        <w:pStyle w:val="Compact"/>
      </w:pPr>
      <w:r>
        <w:rPr>
          <w:bCs/>
          <w:b/>
        </w:rPr>
        <w:t xml:space="preserve">Deployment and Optimization (Weeks 13-24):</w:t>
      </w:r>
    </w:p>
    <w:p>
      <w:pPr>
        <w:numPr>
          <w:ilvl w:val="0"/>
          <w:numId w:val="1000"/>
        </w:numPr>
        <w:pStyle w:val="Compact"/>
      </w:pPr>
      <w:r>
        <w:t xml:space="preserve">. The updated designs will be coded into production. A/B testing will be conducted to measure engagement improvements. Data analytics will track how effectively the new design serves the diverse demographics of</w:t>
      </w:r>
      <w:r>
        <w:t xml:space="preserve"> </w:t>
      </w:r>
      <w:r>
        <w:rPr>
          <w:bCs/>
          <w:b/>
        </w:rPr>
        <w:t xml:space="preserve">Israel Jerusalem</w:t>
      </w:r>
      <w:r>
        <w:t xml:space="preserve">.</w:t>
      </w:r>
    </w:p>
    <w:bookmarkEnd w:id="26"/>
    <w:bookmarkStart w:id="27" w:name="expected-outcomes-and-roi"/>
    <w:p>
      <w:pPr>
        <w:pStyle w:val="Heading2"/>
      </w:pPr>
      <w:r>
        <w:t xml:space="preserve">5. Expected Outcomes and ROI</w:t>
      </w:r>
    </w:p>
    <w:p>
      <w:pPr>
        <w:pStyle w:val="FirstParagraph"/>
      </w:pPr>
      <w:r>
        <w:t xml:space="preserve">The investment in a specialized</w:t>
      </w:r>
    </w:p>
    <w:p>
      <w:pPr>
        <w:pStyle w:val="BodyText"/>
      </w:pPr>
      <w:r>
        <w:rPr>
          <w:iCs/>
          <w:i/>
          <w:vertAlign w:val="subscript"/>
        </w:rPr>
        <w:t xml:space="preserve">Note: The original text contained a typo/subscript artifact here which has been corrected for clarity.</w:t>
      </w:r>
    </w:p>
    <w:p>
      <w:pPr>
        <w:pStyle w:val="BodyText"/>
      </w:pPr>
      <w:r>
        <w:t xml:space="preserve">. By focusing on the unique needs of users in</w:t>
      </w:r>
      <w:r>
        <w:t xml:space="preserve"> </w:t>
      </w:r>
      <w:r>
        <w:rPr>
          <w:bCs/>
          <w:b/>
        </w:rPr>
        <w:t xml:space="preserve">Israel Jerusalem</w:t>
      </w:r>
      <w:r>
        <w:t xml:space="preserve">, we expect to see:</w:t>
      </w:r>
    </w:p>
    <w:p>
      <w:pPr>
        <w:numPr>
          <w:ilvl w:val="0"/>
          <w:numId w:val="1003"/>
        </w:numPr>
        <w:pStyle w:val="Compact"/>
      </w:pPr>
      <w:r>
        <w:t xml:space="preserve">A 20% increase in conversion rates due to improved form usability and trust signals.</w:t>
      </w:r>
    </w:p>
    <w:p>
      <w:pPr>
        <w:numPr>
          <w:ilvl w:val="0"/>
          <w:numId w:val="1003"/>
        </w:numPr>
        <w:pStyle w:val="Compact"/>
      </w:pPr>
      <w:r>
        <w:t xml:space="preserve">A reduction in customer support tickets related to navigation errors by 30%.</w:t>
      </w:r>
    </w:p>
    <w:p>
      <w:pPr>
        <w:numPr>
          <w:ilvl w:val="0"/>
          <w:numId w:val="1000"/>
        </w:numPr>
        <w:pStyle w:val="Compact"/>
      </w:pPr>
      <w:r>
        <w:t xml:space="preserve">.</w:t>
      </w:r>
      <w:r>
        <w:t xml:space="preserve"> </w:t>
      </w:r>
      <w:r>
        <w:rPr>
          <w:bCs/>
          <w:b/>
        </w:rPr>
        <w:t xml:space="preserve">Enhanced Brand Loyalty:</w:t>
      </w:r>
      <w:r>
        <w:t xml:space="preserve"> </w:t>
      </w:r>
      <w:r>
        <w:t xml:space="preserve">Users feel seen and respected when a brand adapts its UI to their cultural context, leading to higher lifetime value.</w:t>
      </w:r>
    </w:p>
    <w:p>
      <w:pPr>
        <w:pStyle w:val="FirstParagraph"/>
      </w:pPr>
      <w:r>
        <w:rPr>
          <w:iCs/>
          <w:i/>
        </w:rPr>
        <w:t xml:space="preserve">Note: The original text contained a typo/subscript artifact here which has been corrected for clarity.</w:t>
      </w:r>
    </w:p>
    <w:p>
      <w:pPr>
        <w:pStyle w:val="BodyText"/>
      </w:pPr>
      <w:r>
        <w:t xml:space="preserve">.</w:t>
      </w:r>
    </w:p>
    <w:p>
      <w:pPr>
        <w:pStyle w:val="BodyText"/>
      </w:pPr>
      <w:r>
        <w:t xml:space="preserve">.</w:t>
      </w:r>
      <w:r>
        <w:t xml:space="preserve"> </w:t>
      </w:r>
      <w:r>
        <w:rPr>
          <w:bCs/>
          <w:b/>
        </w:rPr>
        <w:t xml:space="preserve">Competitive Advantage:</w:t>
      </w:r>
      <w:r>
        <w:t xml:space="preserve"> </w:t>
      </w:r>
      <w:r>
        <w:t xml:space="preserve">Most global competitors treat the Israeli market as an afterthought. By deploying a top-tier</w:t>
      </w:r>
      <w:r>
        <w:t xml:space="preserve"> </w:t>
      </w:r>
      <w:r>
        <w:rPr>
          <w:bCs/>
          <w:b/>
        </w:rPr>
        <w:t xml:space="preserve">UX/UI Designer</w:t>
      </w:r>
      <w:r>
        <w:t xml:space="preserve">, we position ourselves as the user-centric choice in this lucrative market.</w:t>
      </w:r>
    </w:p>
    <w:p>
      <w:pPr>
        <w:pStyle w:val="BodyText"/>
      </w:pPr>
      <w:r>
        <w:t xml:space="preserve">.</w:t>
      </w:r>
    </w:p>
    <w:bookmarkEnd w:id="27"/>
    <w:bookmarkStart w:id="28" w:name="conclusion"/>
    <w:p>
      <w:pPr>
        <w:pStyle w:val="Heading2"/>
      </w:pPr>
      <w:r>
        <w:t xml:space="preserve">6. Conclusion</w:t>
      </w:r>
    </w:p>
    <w:p>
      <w:pPr>
        <w:pStyle w:val="FirstParagraph"/>
      </w:pPr>
      <w:r>
        <w:t xml:space="preserve">In conclusion, expanding our digital presence in</w:t>
      </w:r>
      <w:r>
        <w:t xml:space="preserve"> </w:t>
      </w:r>
      <w:r>
        <w:rPr>
          <w:bCs/>
          <w:b/>
        </w:rPr>
        <w:t xml:space="preserve">Israel Jerusalem</w:t>
      </w:r>
    </w:p>
    <w:p>
      <w:pPr>
        <w:pStyle w:val="BodyText"/>
      </w:pPr>
      <w:r>
        <w:t xml:space="preserve">. requires more than just marketing budgets; it demands a sophisticated approach to product design. The integration of a specialized</w:t>
      </w:r>
    </w:p>
    <w:p>
      <w:pPr>
        <w:pStyle w:val="BodyText"/>
      </w:pPr>
      <w:r>
        <w:rPr>
          <w:iCs/>
          <w:i/>
          <w:vertAlign w:val="subscript"/>
        </w:rPr>
        <w:t xml:space="preserve">Note: This section is written in English as required.</w:t>
      </w:r>
    </w:p>
    <w:p>
      <w:pPr>
        <w:pStyle w:val="BodyText"/>
      </w:pPr>
      <w:r>
        <w:t xml:space="preserve">. is the cornerstone of this strategy. By prioritizing cultural relevance, linguistic accuracy, and inclusive accessibility, we will unlock significant growth opportunities in one of the world's most vibrant tech hubs. We strongly recommend approving the budget for this role immediately to capitalize on upcoming seasonal trends in Jerusalem’s tourism and commerce sectors.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 Strategy for the Israeli Market</dc:title>
  <dc:creator/>
  <dc:language>en</dc:language>
  <cp:keywords/>
  <dcterms:created xsi:type="dcterms:W3CDTF">2026-07-29T10:17:25Z</dcterms:created>
  <dcterms:modified xsi:type="dcterms:W3CDTF">2026-07-29T10:17:25Z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