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3" w:name="title"/>
    <w:p>
      <w:pPr>
        <w:pStyle w:val="Heading1"/>
      </w:pPr>
      <w:r>
        <w:t xml:space="preserve">Comprehensive Project Report on Strategic Videographer Implementation in Nepal Kathmandu</w:t>
      </w:r>
    </w:p>
    <w:p>
      <w:pPr>
        <w:pStyle w:val="FirstParagraph"/>
      </w:pPr>
      <w:r>
        <w:t xml:space="preserve">The cultural and economic landscape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undergoing a rapid digital transformation, creating an unprecedented demand for high-quality visual storytelling.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necessity, operational framework, and market potential for deploying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 within this vibrant capital city.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purpose of this document is to evaluate the viability and scope of establishing a specialized video production initiative focused on the unique topography, culture, and growing tourism sector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As global digital platforms increasingly prioritize video content over traditional text-based marketing, the role of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has shifted from optional to essential for businesses operating in this region. This report details how professional videography can serve as a catalyst for economic growth and cultural preservation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0"/>
    <w:bookmarkStart w:id="21" w:name="background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Nepal Kathmandu</w:t>
      </w:r>
      <w:r>
        <w:t xml:space="preserve">, situated at an elevation of 1,400 meters in the Himalayan foothills, is not only a political hub but also a gateway to some of the world's most breathtaking landscapes. Historically known for its UNESCO World Heritage Sites, such as Durbar Square and Swayambhunath Stupa, the city has seen a surge in international interest driven by adventure tourism and cultural exchange programs.</w:t>
      </w:r>
    </w:p>
    <w:p>
      <w:pPr>
        <w:pStyle w:val="BodyText"/>
      </w:pPr>
      <w:r>
        <w:t xml:space="preserve">However, traditional marketing methods are no longer sufficient to capture the immersive experience of visiting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Potential tourists and international investors require dynamic visual content that conveys the atmosphere, energy, and aesthetic beauty of the region. This gap in high-fidelity visual documentation creates a critical opportunity for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 to bridge the distance between location and audience.</w:t>
      </w:r>
    </w:p>
    <w:bookmarkEnd w:id="21"/>
    <w:bookmarkStart w:id="22" w:name="objectives"/>
    <w:p>
      <w:pPr>
        <w:pStyle w:val="Heading2"/>
      </w:pPr>
      <w:r>
        <w:t xml:space="preserve">3. Project Objectives</w:t>
      </w:r>
    </w:p>
    <w:p>
      <w:pPr>
        <w:numPr>
          <w:ilvl w:val="0"/>
          <w:numId w:val="1001"/>
        </w:numPr>
        <w:pStyle w:val="Compact"/>
      </w:pPr>
      <w:r>
        <w:t xml:space="preserve">To provide world-class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 that accurately represent the cultural richness and natural beauty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support local tourism boards, hotels, and adventure tour operators in expanding their global digital footprint.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Videography Services in Nepal Kathmandu</dc:title>
  <dc:creator/>
  <dc:language>en</dc:language>
  <cp:keywords/>
  <dcterms:created xsi:type="dcterms:W3CDTF">2026-07-29T07:53:49Z</dcterms:created>
  <dcterms:modified xsi:type="dcterms:W3CDTF">2026-07-29T07:53:49Z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