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This report analyzes the critical role of a Web Designer in the vibrant tech ecosystem of Canada Montreal. As businesses increasingly prioritize digital transformation, understanding local nuances, bilingual requirements, and cultural aesthetics is paramount for success.</w:t>
      </w:r>
    </w:p>
    <w:p>
      <w:pPr>
        <w:numPr>
          <w:ilvl w:val="0"/>
          <w:numId w:val="1001"/>
        </w:numPr>
        <w:pStyle w:val="Compact"/>
      </w:pPr>
      <w:r>
        <w:t xml:space="preserve">**Project Title**: Strategic Web Design Implementation for the Quebec Market</w:t>
      </w:r>
    </w:p>
    <w:p>
      <w:pPr>
        <w:numPr>
          <w:ilvl w:val="0"/>
          <w:numId w:val="1001"/>
        </w:numPr>
        <w:pStyle w:val="Compact"/>
      </w:pPr>
      <w:r>
        <w:t xml:space="preserve">**Location**: Canada Montreal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Web Designer Strategy for Canada Montreal</dc:title>
  <dc:creator/>
  <dc:language>en</dc:language>
  <cp:keywords/>
  <dcterms:created xsi:type="dcterms:W3CDTF">2026-07-29T15:43:49Z</dcterms:created>
  <dcterms:modified xsi:type="dcterms:W3CDTF">2026-07-29T15:43:49Z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