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This report analyzes the critical role of a Web Designer in the vibrant tech ecosystem of Canada Montreal. As businesses increasingly prioritize digital transformation, understanding local nuances, bilingual requirements, and cultural aesthetics is paramount for success.</w:t>
      </w:r>
    </w:p>
    <w:p>
      <w:pPr>
        <w:numPr>
          <w:ilvl w:val="0"/>
          <w:numId w:val="1001"/>
        </w:numPr>
        <w:pStyle w:val="Compact"/>
      </w:pPr>
      <w:r>
        <w:t xml:space="preserve">**Project Title**: Strategic Web Design Implementation for the Quebec Market</w:t>
      </w:r>
    </w:p>
    <w:p>
      <w:pPr>
        <w:numPr>
          <w:ilvl w:val="0"/>
          <w:numId w:val="1001"/>
        </w:numPr>
        <w:pStyle w:val="Compact"/>
      </w:pPr>
      <w:r>
        <w:t xml:space="preserve">**Location**: Canada Montreal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Strategy for Canada Montreal</dc:title>
  <dc:creator/>
  <dc:language>en</dc:language>
  <cp:keywords/>
  <dcterms:created xsi:type="dcterms:W3CDTF">2026-09-25T21:54:20Z</dcterms:created>
  <dcterms:modified xsi:type="dcterms:W3CDTF">2026-09-25T21:54:20Z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