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Argentina</w:t>
      </w:r>
      <w:r>
        <w:t xml:space="preserve"> </w:t>
      </w:r>
      <w:r>
        <w:t xml:space="preserve">Córdoba</w:t>
      </w:r>
    </w:p>
    <w:bookmarkStart w:id="20" w:name="purchase-order"/>
    <w:p>
      <w:pPr>
        <w:pStyle w:val="Heading1"/>
      </w:pPr>
      <w:r>
        <w:t xml:space="preserve">PURCHASE ORDER</w:t>
      </w:r>
    </w:p>
    <w:p>
      <w:pPr>
        <w:pStyle w:val="FirstParagraph"/>
      </w:pPr>
      <w:r>
        <w:rPr>
          <w:bCs/>
          <w:b/>
        </w:rPr>
        <w:t xml:space="preserve">Universidad Nacional de Córdoba – Facultad de Ciencias Exactas, Físicas y Naturales</w:t>
      </w:r>
    </w:p>
    <w:p>
      <w:pPr>
        <w:pStyle w:val="BodyText"/>
      </w:pPr>
      <w:r>
        <w:t xml:space="preserve">Av. Vélez Sarsfield 950, X5000 Córdoba, Argentina</w:t>
      </w:r>
    </w:p>
    <w:p>
      <w:pPr>
        <w:pStyle w:val="BodyText"/>
      </w:pPr>
      <w:r>
        <w:t xml:space="preserve">Phone: +54 (351) 433-0000 | Email: compras@unc.edu.ar</w:t>
      </w:r>
    </w:p>
    <w:p>
      <w:pPr>
        <w:pStyle w:val="BodyText"/>
      </w:pPr>
      <w:r>
        <w:t xml:space="preserve">CUIT: 30-50000000-1 | Domicilio Fiscal: Córdoba, Argentina</w:t>
      </w:r>
    </w:p>
    <w:bookmarkEnd w:id="20"/>
    <w:p>
      <w:pPr>
        <w:pStyle w:val="BodyText"/>
      </w:pPr>
      <w:r>
        <w:rPr>
          <w:bCs/>
          <w:b/>
        </w:rPr>
        <w:t xml:space="preserve">Purchase Order No.:</w:t>
      </w:r>
      <w:r>
        <w:t xml:space="preserve"> </w:t>
      </w:r>
      <w:r>
        <w:t xml:space="preserve">PO-UNC-2025-04871</w:t>
      </w:r>
    </w:p>
    <w:p>
      <w:pPr>
        <w:pStyle w:val="BodyText"/>
      </w:pPr>
      <w:r>
        <w:rPr>
          <w:bCs/>
          <w:b/>
        </w:rPr>
        <w:t xml:space="preserve">Date of Issue:</w:t>
      </w:r>
      <w:r>
        <w:t xml:space="preserve"> </w:t>
      </w:r>
      <w:r>
        <w:t xml:space="preserve">15 de junio de 2025</w:t>
      </w:r>
    </w:p>
    <w:p>
      <w:pPr>
        <w:pStyle w:val="BodyText"/>
      </w:pPr>
      <w:r>
        <w:rPr>
          <w:bCs/>
          <w:b/>
        </w:rPr>
        <w:t xml:space="preserve">Required Delivery Date:</w:t>
      </w:r>
      <w:r>
        <w:t xml:space="preserve"> </w:t>
      </w:r>
      <w:r>
        <w:t xml:space="preserve">30 de julio de 2025</w:t>
      </w:r>
    </w:p>
    <w:p>
      <w:pPr>
        <w:pStyle w:val="BodyText"/>
      </w:pPr>
      <w:r>
        <w:rPr>
          <w:bCs/>
          <w:b/>
        </w:rPr>
        <w:t xml:space="preserve">Payment Terms:</w:t>
      </w:r>
      <w:r>
        <w:t xml:space="preserve"> </w:t>
      </w:r>
      <w:r>
        <w:t xml:space="preserve">Net 30 Days</w:t>
      </w:r>
    </w:p>
    <w:p>
      <w:pPr>
        <w:pStyle w:val="BodyText"/>
      </w:pPr>
      <w:r>
        <w:rPr>
          <w:bCs/>
          <w:b/>
        </w:rPr>
        <w:t xml:space="preserve">Project Reference:</w:t>
      </w:r>
      <w:r>
        <w:t xml:space="preserve"> </w:t>
      </w:r>
      <w:r>
        <w:t xml:space="preserve">PICT-2024-011234 (Academic Researcher Grant)</w:t>
      </w:r>
    </w:p>
    <w:bookmarkStart w:id="21" w:name="Xdf58eaf9a750aacff0eb2b88aa3ea9e51402d03"/>
    <w:p>
      <w:pPr>
        <w:pStyle w:val="Heading2"/>
      </w:pPr>
      <w:r>
        <w:t xml:space="preserve">1. Buyer Information (Academic Researcher Institution)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Institution:</w:t>
            </w:r>
            <w:r>
              <w:t xml:space="preserve"> </w:t>
            </w:r>
            <w:r>
              <w:t xml:space="preserve">Universidad Nacional de Córdoba, Argentina Córdoba</w:t>
            </w:r>
          </w:p>
        </w:tc>
        <w:tc>
          <w:tcPr/>
          <w:p>
            <w:pPr>
              <w:pStyle w:val="Compact"/>
              <w:jc w:val="left"/>
            </w:pPr>
            <w:r>
              <w:rPr>
                <w:bCs/>
                <w:b/>
              </w:rPr>
              <w:t xml:space="preserve">Department:</w:t>
            </w:r>
            <w:r>
              <w:t xml:space="preserve"> </w:t>
            </w:r>
            <w:r>
              <w:t xml:space="preserve">Departamento de Bioquímica y Biología Molecular</w:t>
            </w:r>
          </w:p>
        </w:tc>
      </w:tr>
      <w:tr>
        <w:tc>
          <w:tcPr/>
          <w:p>
            <w:pPr>
              <w:pStyle w:val="Compact"/>
              <w:jc w:val="left"/>
            </w:pPr>
            <w:r>
              <w:rPr>
                <w:bCs/>
                <w:b/>
              </w:rPr>
              <w:t xml:space="preserve">Academic Researcher (Principal Investigator):</w:t>
            </w:r>
            <w:r>
              <w:t xml:space="preserve"> </w:t>
            </w:r>
            <w:r>
              <w:t xml:space="preserve">Dra. María Elena Rodríguez</w:t>
            </w:r>
          </w:p>
        </w:tc>
        <w:tc>
          <w:tcPr/>
          <w:p>
            <w:pPr>
              <w:pStyle w:val="Compact"/>
              <w:jc w:val="left"/>
            </w:pPr>
            <w:r>
              <w:rPr>
                <w:bCs/>
                <w:b/>
              </w:rPr>
              <w:t xml:space="preserve">Research Area:</w:t>
            </w:r>
            <w:r>
              <w:t xml:space="preserve"> </w:t>
            </w:r>
            <w:r>
              <w:t xml:space="preserve">Molecular Genetics and Genomic Analysis</w:t>
            </w:r>
          </w:p>
        </w:tc>
      </w:tr>
      <w:tr>
        <w:tc>
          <w:tcPr/>
          <w:p>
            <w:pPr>
              <w:pStyle w:val="Compact"/>
              <w:jc w:val="left"/>
            </w:pPr>
            <w:r>
              <w:rPr>
                <w:bCs/>
                <w:b/>
              </w:rPr>
              <w:t xml:space="preserve">Address:</w:t>
            </w:r>
            <w:r>
              <w:t xml:space="preserve"> </w:t>
            </w:r>
            <w:r>
              <w:t xml:space="preserve">Av. Vélez Sarsfield 950, 4th Floor, X5000 Córdoba, Argentina</w:t>
            </w:r>
          </w:p>
        </w:tc>
        <w:tc>
          <w:tcPr/>
          <w:p>
            <w:pPr>
              <w:pStyle w:val="Compact"/>
              <w:jc w:val="left"/>
            </w:pPr>
            <w:r>
              <w:rPr>
                <w:bCs/>
                <w:b/>
              </w:rPr>
              <w:t xml:space="preserve">Contact:</w:t>
            </w:r>
            <w:r>
              <w:t xml:space="preserve"> </w:t>
            </w:r>
            <w:r>
              <w:t xml:space="preserve">+54 (351) 433-2211 | mrodriguez@fcefyn.unc.edu.ar</w:t>
            </w:r>
          </w:p>
        </w:tc>
      </w:tr>
      <w:tr>
        <w:tc>
          <w:tcPr/>
          <w:p>
            <w:pPr>
              <w:pStyle w:val="Compact"/>
              <w:jc w:val="left"/>
            </w:pPr>
            <w:r>
              <w:rPr>
                <w:bCs/>
                <w:b/>
              </w:rPr>
              <w:t xml:space="preserve">Academic Researcher ID:</w:t>
            </w:r>
            <w:r>
              <w:t xml:space="preserve"> </w:t>
            </w:r>
            <w:r>
              <w:t xml:space="preserve">UNC-AR-2024-00892</w:t>
            </w:r>
          </w:p>
        </w:tc>
        <w:tc>
          <w:tcPr/>
          <w:p>
            <w:pPr>
              <w:pStyle w:val="Compact"/>
              <w:jc w:val="left"/>
            </w:pPr>
            <w:r>
              <w:rPr>
                <w:bCs/>
                <w:b/>
              </w:rPr>
              <w:t xml:space="preserve">Funding Agency:</w:t>
            </w:r>
            <w:r>
              <w:t xml:space="preserve"> </w:t>
            </w:r>
            <w:r>
              <w:t xml:space="preserve">Agencia Nacional de Promoción Científica y Tecnológica (ANPCyT)</w:t>
            </w:r>
          </w:p>
        </w:tc>
      </w:tr>
    </w:tbl>
    <w:bookmarkEnd w:id="21"/>
    <w:bookmarkStart w:id="22" w:name="supplier-information"/>
    <w:p>
      <w:pPr>
        <w:pStyle w:val="Heading2"/>
      </w:pPr>
      <w:r>
        <w:t xml:space="preserve">2.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r>
              <w:t xml:space="preserve"> </w:t>
            </w:r>
            <w:r>
              <w:t xml:space="preserve">Laboratorios Científicos del Litoral S.A.</w:t>
            </w:r>
          </w:p>
        </w:tc>
        <w:tc>
          <w:tcPr/>
          <w:p>
            <w:pPr>
              <w:pStyle w:val="Compact"/>
              <w:jc w:val="left"/>
            </w:pPr>
            <w:r>
              <w:rPr>
                <w:bCs/>
                <w:b/>
              </w:rPr>
              <w:t xml:space="preserve">CUIT:</w:t>
            </w:r>
            <w:r>
              <w:t xml:space="preserve"> </w:t>
            </w:r>
            <w:r>
              <w:t xml:space="preserve">30-71234567-8</w:t>
            </w:r>
          </w:p>
        </w:tc>
      </w:tr>
      <w:tr>
        <w:tc>
          <w:tcPr/>
          <w:p>
            <w:pPr>
              <w:pStyle w:val="Compact"/>
              <w:jc w:val="left"/>
            </w:pPr>
            <w:r>
              <w:rPr>
                <w:bCs/>
                <w:b/>
              </w:rPr>
              <w:t xml:space="preserve">Address:</w:t>
            </w:r>
            <w:r>
              <w:t xml:space="preserve"> </w:t>
            </w:r>
            <w:r>
              <w:t xml:space="preserve">Calle Mitre 1245, X5000 Córdoba, Argentina</w:t>
            </w:r>
          </w:p>
        </w:tc>
        <w:tc>
          <w:tcPr/>
          <w:p>
            <w:pPr>
              <w:pStyle w:val="Compact"/>
              <w:jc w:val="left"/>
            </w:pPr>
            <w:r>
              <w:rPr>
                <w:bCs/>
                <w:b/>
              </w:rPr>
              <w:t xml:space="preserve">Contact:</w:t>
            </w:r>
            <w:r>
              <w:t xml:space="preserve"> </w:t>
            </w:r>
            <w:r>
              <w:t xml:space="preserve">+54 (351) 422-8899 | ventas@lclitoral.com.ar</w:t>
            </w:r>
          </w:p>
        </w:tc>
      </w:tr>
      <w:tr>
        <w:tc>
          <w:tcPr/>
          <w:p>
            <w:pPr>
              <w:pStyle w:val="Compact"/>
              <w:jc w:val="left"/>
            </w:pPr>
            <w:r>
              <w:rPr>
                <w:bCs/>
                <w:b/>
              </w:rPr>
              <w:t xml:space="preserve">Authorized Representative:</w:t>
            </w:r>
            <w:r>
              <w:t xml:space="preserve"> </w:t>
            </w:r>
            <w:r>
              <w:t xml:space="preserve">Ing. Carlos Alberto Fernández</w:t>
            </w:r>
          </w:p>
        </w:tc>
        <w:tc>
          <w:tcPr/>
          <w:p>
            <w:pPr>
              <w:pStyle w:val="Compact"/>
              <w:jc w:val="left"/>
            </w:pPr>
            <w:r>
              <w:rPr>
                <w:bCs/>
                <w:b/>
              </w:rPr>
              <w:t xml:space="preserve">Commercial Registration:</w:t>
            </w:r>
            <w:r>
              <w:t xml:space="preserve"> </w:t>
            </w:r>
            <w:r>
              <w:t xml:space="preserve">INGI-2019-44521</w:t>
            </w:r>
          </w:p>
        </w:tc>
      </w:tr>
    </w:tbl>
    <w:bookmarkEnd w:id="22"/>
    <w:bookmarkStart w:id="23" w:name="Xce8e951aa9ab1e08ff17e34e6029040425eb98c"/>
    <w:p>
      <w:pPr>
        <w:pStyle w:val="Heading2"/>
      </w:pPr>
      <w:r>
        <w:t xml:space="preserve">3. Purchase Order Line Items – Academic Researcher Equipment and Materials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Real-Time PCR Thermal Cycler (Applied Biosystems 7500) – for genomic analysis by Academic Researcher team</w:t>
            </w:r>
          </w:p>
        </w:tc>
        <w:tc>
          <w:tcPr/>
          <w:p>
            <w:pPr>
              <w:pStyle w:val="Compact"/>
              <w:jc w:val="left"/>
            </w:pPr>
            <w:r>
              <w:t xml:space="preserve">1</w:t>
            </w:r>
          </w:p>
        </w:tc>
        <w:tc>
          <w:tcPr/>
          <w:p>
            <w:pPr>
              <w:pStyle w:val="Compact"/>
              <w:jc w:val="left"/>
            </w:pPr>
            <w:r>
              <w:t xml:space="preserve">4,850,000.00</w:t>
            </w:r>
          </w:p>
        </w:tc>
        <w:tc>
          <w:tcPr/>
          <w:p>
            <w:pPr>
              <w:pStyle w:val="Compact"/>
              <w:jc w:val="left"/>
            </w:pPr>
            <w:r>
              <w:t xml:space="preserve">4,850,000.00</w:t>
            </w:r>
          </w:p>
        </w:tc>
      </w:tr>
      <w:tr>
        <w:tc>
          <w:tcPr/>
          <w:p>
            <w:pPr>
              <w:pStyle w:val="Compact"/>
              <w:jc w:val="left"/>
            </w:pPr>
            <w:r>
              <w:t xml:space="preserve">02</w:t>
            </w:r>
          </w:p>
        </w:tc>
        <w:tc>
          <w:tcPr/>
          <w:p>
            <w:pPr>
              <w:pStyle w:val="Compact"/>
              <w:jc w:val="left"/>
            </w:pPr>
            <w:r>
              <w:t xml:space="preserve">High-Performance Liquid Chromatography System (HPLC) with UV-Vis Detector – research laboratory use</w:t>
            </w:r>
          </w:p>
        </w:tc>
        <w:tc>
          <w:tcPr/>
          <w:p>
            <w:pPr>
              <w:pStyle w:val="Compact"/>
              <w:jc w:val="left"/>
            </w:pPr>
            <w:r>
              <w:t xml:space="preserve">1</w:t>
            </w:r>
          </w:p>
        </w:tc>
        <w:tc>
          <w:tcPr/>
          <w:p>
            <w:pPr>
              <w:pStyle w:val="Compact"/>
              <w:jc w:val="left"/>
            </w:pPr>
            <w:r>
              <w:t xml:space="preserve">7,200,000.00</w:t>
            </w:r>
          </w:p>
        </w:tc>
        <w:tc>
          <w:tcPr/>
          <w:p>
            <w:pPr>
              <w:pStyle w:val="Compact"/>
              <w:jc w:val="left"/>
            </w:pPr>
            <w:r>
              <w:t xml:space="preserve">7,200,000.00</w:t>
            </w:r>
          </w:p>
        </w:tc>
      </w:tr>
      <w:tr>
        <w:tc>
          <w:tcPr/>
          <w:p>
            <w:pPr>
              <w:pStyle w:val="Compact"/>
              <w:jc w:val="left"/>
            </w:pPr>
            <w:r>
              <w:t xml:space="preserve">03</w:t>
            </w:r>
          </w:p>
        </w:tc>
        <w:tc>
          <w:tcPr/>
          <w:p>
            <w:pPr>
              <w:pStyle w:val="Compact"/>
              <w:jc w:val="left"/>
            </w:pPr>
            <w:r>
              <w:t xml:space="preserve">Ultra-Centrifuge (Beckman Optima XPN-100) – for protein isolation studies</w:t>
            </w:r>
          </w:p>
        </w:tc>
        <w:tc>
          <w:tcPr/>
          <w:p>
            <w:pPr>
              <w:pStyle w:val="Compact"/>
              <w:jc w:val="left"/>
            </w:pPr>
            <w:r>
              <w:t xml:space="preserve">1</w:t>
            </w:r>
          </w:p>
        </w:tc>
        <w:tc>
          <w:tcPr/>
          <w:p>
            <w:pPr>
              <w:pStyle w:val="Compact"/>
              <w:jc w:val="left"/>
            </w:pPr>
            <w:r>
              <w:t xml:space="preserve">3,650,000.00</w:t>
            </w:r>
          </w:p>
        </w:tc>
        <w:tc>
          <w:tcPr/>
          <w:p>
            <w:pPr>
              <w:pStyle w:val="Compact"/>
              <w:jc w:val="left"/>
            </w:pPr>
            <w:r>
              <w:t xml:space="preserve">3,650,000.00</w:t>
            </w:r>
          </w:p>
        </w:tc>
      </w:tr>
      <w:tr>
        <w:tc>
          <w:tcPr/>
          <w:p>
            <w:pPr>
              <w:pStyle w:val="Compact"/>
              <w:jc w:val="left"/>
            </w:pPr>
            <w:r>
              <w:t xml:space="preserve">04</w:t>
            </w:r>
          </w:p>
        </w:tc>
        <w:tc>
          <w:tcPr/>
          <w:p>
            <w:pPr>
              <w:pStyle w:val="Compact"/>
              <w:jc w:val="left"/>
            </w:pPr>
            <w:r>
              <w:t xml:space="preserve">Reagent Kit – Genomic DNA Extraction (500 reactions) – for Academic Researcher laboratory protocols</w:t>
            </w:r>
          </w:p>
        </w:tc>
        <w:tc>
          <w:tcPr/>
          <w:p>
            <w:pPr>
              <w:pStyle w:val="Compact"/>
              <w:jc w:val="left"/>
            </w:pPr>
            <w:r>
              <w:t xml:space="preserve">10</w:t>
            </w:r>
          </w:p>
        </w:tc>
        <w:tc>
          <w:tcPr/>
          <w:p>
            <w:pPr>
              <w:pStyle w:val="Compact"/>
              <w:jc w:val="left"/>
            </w:pPr>
            <w:r>
              <w:t xml:space="preserve">185,000.00</w:t>
            </w:r>
          </w:p>
        </w:tc>
        <w:tc>
          <w:tcPr/>
          <w:p>
            <w:pPr>
              <w:pStyle w:val="Compact"/>
              <w:jc w:val="left"/>
            </w:pPr>
            <w:r>
              <w:t xml:space="preserve">1,850,000.00</w:t>
            </w:r>
          </w:p>
        </w:tc>
      </w:tr>
      <w:tr>
        <w:tc>
          <w:tcPr/>
          <w:p>
            <w:pPr>
              <w:pStyle w:val="Compact"/>
              <w:jc w:val="left"/>
            </w:pPr>
            <w:r>
              <w:t xml:space="preserve">05</w:t>
            </w:r>
          </w:p>
        </w:tc>
        <w:tc>
          <w:tcPr/>
          <w:p>
            <w:pPr>
              <w:pStyle w:val="Compact"/>
              <w:jc w:val="left"/>
            </w:pPr>
            <w:r>
              <w:t xml:space="preserve">Cell Culture Media and Supplements (12-month supply) – for in vitro research experiments</w:t>
            </w:r>
          </w:p>
        </w:tc>
        <w:tc>
          <w:tcPr/>
          <w:p>
            <w:pPr>
              <w:pStyle w:val="Compact"/>
              <w:jc w:val="left"/>
            </w:pPr>
            <w:r>
              <w:t xml:space="preserve">24</w:t>
            </w:r>
          </w:p>
        </w:tc>
        <w:tc>
          <w:tcPr/>
          <w:p>
            <w:pPr>
              <w:pStyle w:val="Compact"/>
              <w:jc w:val="left"/>
            </w:pPr>
            <w:r>
              <w:t xml:space="preserve">92,500.00</w:t>
            </w:r>
          </w:p>
        </w:tc>
        <w:tc>
          <w:tcPr/>
          <w:p>
            <w:pPr>
              <w:pStyle w:val="Compact"/>
              <w:jc w:val="left"/>
            </w:pPr>
            <w:r>
              <w:t xml:space="preserve">2,220,000.00</w:t>
            </w:r>
          </w:p>
        </w:tc>
      </w:tr>
      <w:tr>
        <w:tc>
          <w:tcPr/>
          <w:p>
            <w:pPr>
              <w:pStyle w:val="Compact"/>
              <w:jc w:val="left"/>
            </w:pPr>
            <w:r>
              <w:t xml:space="preserve">06</w:t>
            </w:r>
          </w:p>
        </w:tc>
        <w:tc>
          <w:tcPr/>
          <w:p>
            <w:pPr>
              <w:pStyle w:val="Compact"/>
              <w:jc w:val="left"/>
            </w:pPr>
            <w:r>
              <w:t xml:space="preserve">Confocal Laser Scanning Microscope (Zeiss LSM 880) – for cellular imaging research</w:t>
            </w:r>
          </w:p>
        </w:tc>
        <w:tc>
          <w:tcPr/>
          <w:p>
            <w:pPr>
              <w:pStyle w:val="Compact"/>
              <w:jc w:val="left"/>
            </w:pPr>
            <w:r>
              <w:t xml:space="preserve">1</w:t>
            </w:r>
          </w:p>
        </w:tc>
        <w:tc>
          <w:tcPr/>
          <w:p>
            <w:pPr>
              <w:pStyle w:val="Compact"/>
              <w:jc w:val="left"/>
            </w:pPr>
            <w:r>
              <w:t xml:space="preserve">12,400,000.00</w:t>
            </w:r>
          </w:p>
        </w:tc>
        <w:tc>
          <w:tcPr/>
          <w:p>
            <w:pPr>
              <w:pStyle w:val="Compact"/>
              <w:jc w:val="left"/>
            </w:pPr>
            <w:r>
              <w:t xml:space="preserve">12,400,000.00</w:t>
            </w:r>
          </w:p>
        </w:tc>
      </w:tr>
      <w:tr>
        <w:tc>
          <w:tcPr/>
          <w:p>
            <w:pPr>
              <w:pStyle w:val="Compact"/>
              <w:jc w:val="left"/>
            </w:pPr>
            <w:r>
              <w:t xml:space="preserve">07</w:t>
            </w:r>
          </w:p>
        </w:tc>
        <w:tc>
          <w:tcPr/>
          <w:p>
            <w:pPr>
              <w:pStyle w:val="Compact"/>
              <w:jc w:val="left"/>
            </w:pPr>
            <w:r>
              <w:t xml:space="preserve">Biomedical Waste Disposal Service – Annual contract for research laboratory compliance in Argentina Córdoba</w:t>
            </w:r>
          </w:p>
        </w:tc>
        <w:tc>
          <w:tcPr/>
          <w:p>
            <w:pPr>
              <w:pStyle w:val="Compact"/>
              <w:jc w:val="left"/>
            </w:pPr>
            <w:r>
              <w:t xml:space="preserve">1</w:t>
            </w:r>
          </w:p>
        </w:tc>
        <w:tc>
          <w:tcPr/>
          <w:p>
            <w:pPr>
              <w:pStyle w:val="Compact"/>
              <w:jc w:val="left"/>
            </w:pPr>
            <w:r>
              <w:t xml:space="preserve">480,000.00</w:t>
            </w:r>
          </w:p>
        </w:tc>
        <w:tc>
          <w:tcPr/>
          <w:p>
            <w:pPr>
              <w:pStyle w:val="Compact"/>
              <w:jc w:val="left"/>
            </w:pPr>
            <w:r>
              <w:t xml:space="preserve">480,000.00</w:t>
            </w:r>
          </w:p>
        </w:tc>
      </w:tr>
      <w:tr>
        <w:tc>
          <w:tcPr/>
          <w:p>
            <w:pPr>
              <w:pStyle w:val="Compact"/>
              <w:jc w:val="left"/>
            </w:pPr>
            <w:r>
              <w:t xml:space="preserve">08</w:t>
            </w:r>
          </w:p>
        </w:tc>
        <w:tc>
          <w:tcPr/>
          <w:p>
            <w:pPr>
              <w:pStyle w:val="Compact"/>
              <w:jc w:val="left"/>
            </w:pPr>
            <w:r>
              <w:t xml:space="preserve">Technical Support and Calibration Service – Annual maintenance for all purchased equipment</w:t>
            </w:r>
          </w:p>
        </w:tc>
        <w:tc>
          <w:tcPr/>
          <w:p>
            <w:pPr>
              <w:pStyle w:val="Compact"/>
              <w:jc w:val="left"/>
            </w:pPr>
            <w:r>
              <w:t xml:space="preserve">1</w:t>
            </w:r>
          </w:p>
        </w:tc>
        <w:tc>
          <w:tcPr/>
          <w:p>
            <w:pPr>
              <w:pStyle w:val="Compact"/>
              <w:jc w:val="left"/>
            </w:pPr>
            <w:r>
              <w:t xml:space="preserve">1,250,000.00</w:t>
            </w:r>
          </w:p>
        </w:tc>
        <w:tc>
          <w:tcPr/>
          <w:p>
            <w:pPr>
              <w:pStyle w:val="Compact"/>
              <w:jc w:val="left"/>
            </w:pPr>
            <w:r>
              <w:t xml:space="preserve">1,250,000.00</w:t>
            </w:r>
          </w:p>
        </w:tc>
      </w:tr>
      <w:tr>
        <w:tc>
          <w:tcPr>
            <w:gridSpan w:val="4"/>
          </w:tcPr>
          <w:p>
            <w:pPr>
              <w:pStyle w:val="Compact"/>
              <w:jc w:val="right"/>
            </w:pPr>
            <w:r>
              <w:t xml:space="preserve">SUBTOTAL (ARS)</w:t>
            </w:r>
          </w:p>
        </w:tc>
        <w:tc>
          <w:tcPr/>
          <w:p>
            <w:pPr>
              <w:pStyle w:val="Compact"/>
              <w:jc w:val="left"/>
            </w:pPr>
            <w:r>
              <w:t xml:space="preserve">33,900,000.00</w:t>
            </w:r>
          </w:p>
        </w:tc>
      </w:tr>
      <w:tr>
        <w:tc>
          <w:tcPr>
            <w:gridSpan w:val="4"/>
          </w:tcPr>
          <w:p>
            <w:pPr>
              <w:pStyle w:val="Compact"/>
              <w:jc w:val="right"/>
            </w:pPr>
            <w:r>
              <w:t xml:space="preserve">IVA (21% – Argentine Value Added Tax)</w:t>
            </w:r>
          </w:p>
        </w:tc>
        <w:tc>
          <w:tcPr/>
          <w:p>
            <w:pPr>
              <w:pStyle w:val="Compact"/>
              <w:jc w:val="left"/>
            </w:pPr>
            <w:r>
              <w:t xml:space="preserve">7,119,000.00</w:t>
            </w:r>
          </w:p>
        </w:tc>
      </w:tr>
      <w:tr>
        <w:tc>
          <w:tcPr>
            <w:gridSpan w:val="4"/>
          </w:tcPr>
          <w:p>
            <w:pPr>
              <w:pStyle w:val="Compact"/>
              <w:jc w:val="right"/>
            </w:pPr>
            <w:r>
              <w:t xml:space="preserve">FREIGHT AND INSTALLATION (Córdoba, Argentina)</w:t>
            </w:r>
          </w:p>
        </w:tc>
        <w:tc>
          <w:tcPr/>
          <w:p>
            <w:pPr>
              <w:pStyle w:val="Compact"/>
              <w:jc w:val="left"/>
            </w:pPr>
            <w:r>
              <w:t xml:space="preserve">350,000.00</w:t>
            </w:r>
          </w:p>
        </w:tc>
      </w:tr>
      <w:tr>
        <w:tc>
          <w:tcPr>
            <w:gridSpan w:val="4"/>
          </w:tcPr>
          <w:p>
            <w:pPr>
              <w:pStyle w:val="Compact"/>
              <w:jc w:val="right"/>
            </w:pPr>
            <w:r>
              <w:t xml:space="preserve">TOTAL AMOUNT DUE (ARS)</w:t>
            </w:r>
          </w:p>
        </w:tc>
        <w:tc>
          <w:tcPr/>
          <w:p>
            <w:pPr>
              <w:pStyle w:val="Compact"/>
              <w:jc w:val="left"/>
            </w:pPr>
            <w:r>
              <w:t xml:space="preserve">41,369,000.00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Delivery Location:</w:t>
      </w:r>
      <w:r>
        <w:t xml:space="preserve"> </w:t>
      </w:r>
      <w:r>
        <w:t xml:space="preserve">All items listed in this Purchase Order shall be delivered, installed, and calibrated at the Universidad Nacional de Córdoba laboratory facilities located in Argentina Córdoba, specifically at Av. Vélez Sarsfield 950, 4th Floor, X5000 Córdoba. The supplier is responsible for all transportation, handling, and installation costs within the city of Córdoba, Argentina.</w:t>
      </w:r>
    </w:p>
    <w:p>
      <w:pPr>
        <w:numPr>
          <w:ilvl w:val="0"/>
          <w:numId w:val="1001"/>
        </w:numPr>
        <w:pStyle w:val="Compact"/>
      </w:pPr>
      <w:r>
        <w:rPr>
          <w:bCs/>
          <w:b/>
        </w:rPr>
        <w:t xml:space="preserve">Academic Researcher Compliance:</w:t>
      </w:r>
      <w:r>
        <w:t xml:space="preserve"> </w:t>
      </w:r>
      <w:r>
        <w:t xml:space="preserve">All equipment and materials procured under this Purchase Order are designated exclusively for use by the Academic Researcher team under the supervision of Dra. María Elena Rodríguez. The equipment shall be used in accordance with the research protocols approved by the Institutional Ethics Committee of the Universidad Nacional de Córdoba.</w:t>
      </w:r>
    </w:p>
    <w:p>
      <w:pPr>
        <w:numPr>
          <w:ilvl w:val="0"/>
          <w:numId w:val="1001"/>
        </w:numPr>
        <w:pStyle w:val="Compact"/>
      </w:pPr>
      <w:r>
        <w:rPr>
          <w:bCs/>
          <w:b/>
        </w:rPr>
        <w:t xml:space="preserve">Warranty:</w:t>
      </w:r>
      <w:r>
        <w:t xml:space="preserve"> </w:t>
      </w:r>
      <w:r>
        <w:t xml:space="preserve">The supplier guarantees a minimum of 24 months of comprehensive warranty on all capital equipment. Consumable items (reagent kits, media) shall carry a minimum shelf life of 18 months from the date of delivery. Any defects discovered during the warranty period shall be repaired or replaced at no additional cost to the Academic Researcher institution.</w:t>
      </w:r>
    </w:p>
    <w:p>
      <w:pPr>
        <w:numPr>
          <w:ilvl w:val="0"/>
          <w:numId w:val="1001"/>
        </w:numPr>
        <w:pStyle w:val="Compact"/>
      </w:pPr>
      <w:r>
        <w:rPr>
          <w:bCs/>
          <w:b/>
        </w:rPr>
        <w:t xml:space="preserve">Payment Schedule:</w:t>
      </w:r>
      <w:r>
        <w:t xml:space="preserve"> </w:t>
      </w:r>
      <w:r>
        <w:t xml:space="preserve">Payment shall be made in accordance with Argentine commercial law (Ley de Contratos de Locación de Obras y Servicios). A 30% advance payment shall be issued upon signing of this Purchase Order. The remaining 70% shall be paid within 30 calendar days following successful delivery, installation, and acceptance by the Academic Researcher team. Payment shall be made via bank transfer to the supplier's registered account in Argentina Córdoba.</w:t>
      </w:r>
    </w:p>
    <w:p>
      <w:pPr>
        <w:numPr>
          <w:ilvl w:val="0"/>
          <w:numId w:val="1001"/>
        </w:numPr>
        <w:pStyle w:val="Compact"/>
      </w:pPr>
      <w:r>
        <w:rPr>
          <w:bCs/>
          <w:b/>
        </w:rPr>
        <w:t xml:space="preserve">Regulatory Compliance:</w:t>
      </w:r>
      <w:r>
        <w:t xml:space="preserve"> </w:t>
      </w:r>
      <w:r>
        <w:t xml:space="preserve">All imported equipment must comply with the regulations established by the Argentine National Institute of Industrial Property (INPI) and the Ministry of Science, Technology and Innovation. The supplier shall provide all necessary import documentation, sanitary permits, and technical certifications required for the operation of laboratory equipment in Argentina Córdoba.</w:t>
      </w:r>
    </w:p>
    <w:p>
      <w:pPr>
        <w:numPr>
          <w:ilvl w:val="0"/>
          <w:numId w:val="1001"/>
        </w:numPr>
        <w:pStyle w:val="Compact"/>
      </w:pPr>
      <w:r>
        <w:rPr>
          <w:bCs/>
          <w:b/>
        </w:rPr>
        <w:t xml:space="preserve">Intellectual Property:</w:t>
      </w:r>
      <w:r>
        <w:t xml:space="preserve"> </w:t>
      </w:r>
      <w:r>
        <w:t xml:space="preserve">All data generated through the use of equipment purchased under this Purchase Order by the Academic Researcher team shall remain the exclusive property of the Universidad Nacional de Córdoba. The supplier shall not claim any rights over research findings, publications, or intellectual property derived from the use of the procured materials.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sanctions, or disruptions in the Argentine national supply chain. In such cases, the affected party shall notify the other within 5 business days.</w:t>
      </w:r>
    </w:p>
    <w:p>
      <w:pPr>
        <w:numPr>
          <w:ilvl w:val="0"/>
          <w:numId w:val="1001"/>
        </w:numPr>
        <w:pStyle w:val="Compact"/>
      </w:pPr>
      <w:r>
        <w:rPr>
          <w:bCs/>
          <w:b/>
        </w:rPr>
        <w:t xml:space="preserve">Governing Law:</w:t>
      </w:r>
      <w:r>
        <w:t xml:space="preserve"> </w:t>
      </w:r>
      <w:r>
        <w:t xml:space="preserve">This Purchase Order shall be governed by and interpreted in accordance with the laws of the Argentine Republic, specifically the Civil and Commercial Code of Argentina. Any disputes arising from this Purchase Order shall be resolved in the competent courts of the city of Córdoba, Argentina.</w:t>
      </w:r>
    </w:p>
    <w:p>
      <w:pPr>
        <w:pStyle w:val="FirstParagraph"/>
      </w:pPr>
      <w:r>
        <w:rPr>
          <w:bCs/>
          <w:b/>
        </w:rPr>
        <w:t xml:space="preserve">NOTE:</w:t>
      </w:r>
      <w:r>
        <w:t xml:space="preserve"> </w:t>
      </w:r>
      <w:r>
        <w:t xml:space="preserve">This Purchase Order is issued in support of the Academic Researcher project "Genomic Characterization of Endemic Species in the Sierras de Córdoba" (PICT-2024-011234), funded by the Agencia Nacional de Promoción Científica y Tecnológica. All expenditures must be documented and reported in accordance with ANPCyT financial reporting requirements. The Academic Researcher is responsible for ensuring that all purchases align with the approved project budget and research objectives. This document is valid for a period of 90 days from the date of issue.</w:t>
      </w:r>
    </w:p>
    <w:bookmarkEnd w:id="24"/>
    <w:bookmarkStart w:id="25" w:name="authorization-and-signatures"/>
    <w:p>
      <w:pPr>
        <w:pStyle w:val="Heading2"/>
      </w:pPr>
      <w:r>
        <w:t xml:space="preserve">5. Authorization and Signatures</w:t>
      </w:r>
    </w:p>
    <w:p>
      <w:pPr>
        <w:pStyle w:val="FirstParagraph"/>
      </w:pPr>
      <w:r>
        <w:rPr>
          <w:bCs/>
          <w:b/>
        </w:rPr>
        <w:t xml:space="preserve">Prepared by (Academic Researcher):</w:t>
      </w:r>
    </w:p>
    <w:p>
      <w:pPr>
        <w:pStyle w:val="BodyText"/>
      </w:pPr>
      <w:r>
        <w:t xml:space="preserve">Dra. María Elena Rodríguez</w:t>
      </w:r>
      <w:r>
        <w:br/>
      </w:r>
      <w:r>
        <w:t xml:space="preserve">Principal Investigator</w:t>
      </w:r>
      <w:r>
        <w:br/>
      </w:r>
      <w:r>
        <w:t xml:space="preserve">Universidad Nacional de Córdoba</w:t>
      </w:r>
    </w:p>
    <w:p>
      <w:pPr>
        <w:pStyle w:val="BodyText"/>
      </w:pPr>
      <w:r>
        <w:rPr>
          <w:bCs/>
          <w:b/>
        </w:rPr>
        <w:t xml:space="preserve">Approved by (Institutional Authority):</w:t>
      </w:r>
    </w:p>
    <w:p>
      <w:pPr>
        <w:pStyle w:val="BodyText"/>
      </w:pPr>
      <w:r>
        <w:t xml:space="preserve">Dr. Jorge Alberto Méndez</w:t>
      </w:r>
      <w:r>
        <w:br/>
      </w:r>
      <w:r>
        <w:t xml:space="preserve">Decano, Facultad de Ciencias Exactas</w:t>
      </w:r>
      <w:r>
        <w:br/>
      </w:r>
      <w:r>
        <w:t xml:space="preserve">Universidad Nacional de Córdoba</w:t>
      </w:r>
    </w:p>
    <w:p>
      <w:pPr>
        <w:pStyle w:val="BodyText"/>
      </w:pPr>
      <w:r>
        <w:rPr>
          <w:bCs/>
          <w:b/>
        </w:rPr>
        <w:t xml:space="preserve">Accepted by (Supplier):</w:t>
      </w:r>
    </w:p>
    <w:p>
      <w:pPr>
        <w:pStyle w:val="BodyText"/>
      </w:pPr>
      <w:r>
        <w:t xml:space="preserve">Ing. Carlos Alberto Fernández</w:t>
      </w:r>
      <w:r>
        <w:br/>
      </w:r>
      <w:r>
        <w:t xml:space="preserve">Gerente Comercial</w:t>
      </w:r>
      <w:r>
        <w:br/>
      </w:r>
      <w:r>
        <w:t xml:space="preserve">Laboratorios Científicos del Litoral S.A.</w:t>
      </w:r>
    </w:p>
    <w:p>
      <w:pPr>
        <w:pStyle w:val="BodyText"/>
      </w:pPr>
      <w:r>
        <w:t xml:space="preserve">Purchase Order PO-UNC-2025-04871 | Universidad Nacional de Córdoba, Argentina Córdoba | Page 1 of 1</w:t>
      </w:r>
    </w:p>
    <w:p>
      <w:pPr>
        <w:pStyle w:val="BodyText"/>
      </w:pPr>
      <w:r>
        <w:t xml:space="preserve">This document is an official procurement record of the Universidad Nacional de Córdoba. Unauthorized reproduction or distribution is prohibited under Argentine intellectual property law (Ley 11.723).</w:t>
      </w:r>
    </w:p>
    <w:p>
      <w:pPr>
        <w:pStyle w:val="BodyText"/>
      </w:pPr>
      <w:r>
        <w:t xml:space="preserve">Document generated in accordance with the internal procurement regulations of the Universidad Nacional de Córdoba, Argentina Córdoba, and the financial guidelines of ANPCyT for Academic Researcher grant recipients.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Argentina Córdoba</dc:title>
  <dc:creator/>
  <dc:language>en</dc:language>
  <cp:keywords/>
  <dcterms:created xsi:type="dcterms:W3CDTF">2026-10-10T04:14:41Z</dcterms:created>
  <dcterms:modified xsi:type="dcterms:W3CDTF">2026-10-10T04:14:41Z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