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Academic Researcher Procurement — Indonesia Jakarta</w:t>
      </w:r>
    </w:p>
    <w:p>
      <w:pPr>
        <w:pStyle w:val="BodyText"/>
      </w:pPr>
      <w:r>
        <w:t xml:space="preserve">Document Reference: PO-JKT-AR-2025-0047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PO-JKT-AR-2025-0047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Delivery Deadline:</w:t>
            </w:r>
          </w:p>
        </w:tc>
        <w:tc>
          <w:tcPr/>
          <w:p>
            <w:pPr>
              <w:pStyle w:val="Compact"/>
              <w:jc w:val="left"/>
            </w:pPr>
            <w:r>
              <w:t xml:space="preserve">30 July 2025</w:t>
            </w:r>
          </w:p>
        </w:tc>
      </w:tr>
      <w:tr>
        <w:tc>
          <w:tcPr/>
          <w:p>
            <w:pPr>
              <w:pStyle w:val="Compact"/>
              <w:jc w:val="left"/>
            </w:pPr>
            <w:r>
              <w:rPr>
                <w:bCs/>
                <w:b/>
              </w:rPr>
              <w:t xml:space="preserve">Currency:</w:t>
            </w:r>
          </w:p>
        </w:tc>
        <w:tc>
          <w:tcPr/>
          <w:p>
            <w:pPr>
              <w:pStyle w:val="Compact"/>
              <w:jc w:val="left"/>
            </w:pPr>
            <w:r>
              <w:t xml:space="preserve">Indonesian Rupiah (IDR)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Valid Until:</w:t>
            </w:r>
          </w:p>
        </w:tc>
        <w:tc>
          <w:tcPr/>
          <w:p>
            <w:pPr>
              <w:pStyle w:val="Compact"/>
              <w:jc w:val="left"/>
            </w:pPr>
            <w:r>
              <w:t xml:space="preserve">15 August 2025</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Incoterms:</w:t>
            </w:r>
          </w:p>
        </w:tc>
        <w:tc>
          <w:tcPr/>
          <w:p>
            <w:pPr>
              <w:pStyle w:val="Compact"/>
              <w:jc w:val="left"/>
            </w:pPr>
            <w:r>
              <w:t xml:space="preserve">DDP Jakarta</w:t>
            </w:r>
          </w:p>
        </w:tc>
      </w:tr>
      <w:tr>
        <w:tc>
          <w:tcPr/>
          <w:p>
            <w:pPr>
              <w:pStyle w:val="Compact"/>
              <w:jc w:val="left"/>
            </w:pPr>
            <w:r>
              <w:rPr>
                <w:bCs/>
                <w:b/>
              </w:rPr>
              <w:t xml:space="preserve">Version:</w:t>
            </w:r>
          </w:p>
        </w:tc>
        <w:tc>
          <w:tcPr/>
          <w:p>
            <w:pPr>
              <w:pStyle w:val="Compact"/>
              <w:jc w:val="left"/>
            </w:pPr>
            <w:r>
              <w:t xml:space="preserve">1.0</w:t>
            </w:r>
          </w:p>
        </w:tc>
      </w:tr>
    </w:tbl>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Institute of Advanced Research &amp; Development</w:t>
      </w:r>
    </w:p>
    <w:p>
      <w:pPr>
        <w:pStyle w:val="BodyText"/>
      </w:pPr>
      <w:r>
        <w:t xml:space="preserve">Jl. Prof. Dr. Satrio Kav. 18</w:t>
      </w:r>
    </w:p>
    <w:p>
      <w:pPr>
        <w:pStyle w:val="BodyText"/>
      </w:pPr>
      <w:r>
        <w:t xml:space="preserve">Kel. Karet Kuningan, Kec. Setiabudi</w:t>
      </w:r>
    </w:p>
    <w:p>
      <w:pPr>
        <w:pStyle w:val="BodyText"/>
      </w:pPr>
      <w:r>
        <w:t xml:space="preserve">Jakarta Selatan 12940, Indonesia Jakarta</w:t>
      </w:r>
    </w:p>
    <w:p>
      <w:pPr>
        <w:pStyle w:val="BodyText"/>
      </w:pPr>
      <w:r>
        <w:t xml:space="preserve">Tel: +62-21-520-8847</w:t>
      </w:r>
    </w:p>
    <w:p>
      <w:pPr>
        <w:pStyle w:val="BodyText"/>
      </w:pPr>
      <w:r>
        <w:t xml:space="preserve">Email: procurement@iadr-jakarta.ac.id</w:t>
      </w:r>
    </w:p>
    <w:p>
      <w:pPr>
        <w:pStyle w:val="BodyText"/>
      </w:pPr>
      <w:r>
        <w:t xml:space="preserve">NPWP: 02.456.789.0-123.000</w:t>
      </w:r>
    </w:p>
    <w:bookmarkEnd w:id="21"/>
    <w:bookmarkStart w:id="22" w:name="supplier-seller"/>
    <w:p>
      <w:pPr>
        <w:pStyle w:val="Heading3"/>
      </w:pPr>
      <w:r>
        <w:t xml:space="preserve">Supplier (Seller)</w:t>
      </w:r>
    </w:p>
    <w:p>
      <w:pPr>
        <w:pStyle w:val="FirstParagraph"/>
      </w:pPr>
      <w:r>
        <w:rPr>
          <w:bCs/>
          <w:b/>
        </w:rPr>
        <w:t xml:space="preserve">PT Nusantara Scientific Supplies</w:t>
      </w:r>
    </w:p>
    <w:p>
      <w:pPr>
        <w:pStyle w:val="BodyText"/>
      </w:pPr>
      <w:r>
        <w:t xml:space="preserve">Jl. Gatot Subroto Kav. 35</w:t>
      </w:r>
    </w:p>
    <w:p>
      <w:pPr>
        <w:pStyle w:val="BodyText"/>
      </w:pPr>
      <w:r>
        <w:t xml:space="preserve">Kel. Kuningan Timur, Kec. Setiabudi</w:t>
      </w:r>
    </w:p>
    <w:p>
      <w:pPr>
        <w:pStyle w:val="BodyText"/>
      </w:pPr>
      <w:r>
        <w:t xml:space="preserve">Jakarta Selatan 12950, Indonesia Jakarta</w:t>
      </w:r>
    </w:p>
    <w:p>
      <w:pPr>
        <w:pStyle w:val="BodyText"/>
      </w:pPr>
      <w:r>
        <w:t xml:space="preserve">Tel: +62-21-520-3312</w:t>
      </w:r>
    </w:p>
    <w:p>
      <w:pPr>
        <w:pStyle w:val="BodyText"/>
      </w:pPr>
      <w:r>
        <w:t xml:space="preserve">Email: sales@nusantarasci.co.id</w:t>
      </w:r>
    </w:p>
    <w:p>
      <w:pPr>
        <w:pStyle w:val="BodyText"/>
      </w:pPr>
      <w:r>
        <w:t xml:space="preserve">NPWP: 01.987.654.3-456.000</w:t>
      </w:r>
    </w:p>
    <w:bookmarkEnd w:id="22"/>
    <w:p>
      <w:pPr>
        <w:pStyle w:val="BodyText"/>
      </w:pPr>
      <w:r>
        <w:t xml:space="preserve">Purpose and Scope</w:t>
      </w:r>
    </w:p>
    <w:p>
      <w:pPr>
        <w:pStyle w:val="BodyText"/>
      </w:pPr>
      <w:r>
        <w:t xml:space="preserve">This</w:t>
      </w:r>
      <w:r>
        <w:t xml:space="preserve"> </w:t>
      </w:r>
      <w:r>
        <w:t xml:space="preserve">Purchase Order</w:t>
      </w:r>
      <w:r>
        <w:t xml:space="preserve"> </w:t>
      </w:r>
      <w:r>
        <w:t xml:space="preserve">is issued by the Institute of Advanced Research &amp; Development, located in</w:t>
      </w:r>
      <w:r>
        <w:t xml:space="preserve"> </w:t>
      </w:r>
      <w:r>
        <w:t xml:space="preserve">Indonesia Jakarta</w:t>
      </w:r>
      <w:r>
        <w:t xml:space="preserve">, to procure specialized equipment, materials, and services required to support the ongoing work of a</w:t>
      </w:r>
      <w:r>
        <w:t xml:space="preserve"> </w:t>
      </w:r>
      <w:r>
        <w:t xml:space="preserve">Academic Researcher</w:t>
      </w:r>
      <w:r>
        <w:t xml:space="preserve"> </w:t>
      </w:r>
      <w:r>
        <w:t xml:space="preserve">engaged in interdisciplinary studies in environmental science and public health. The items listed below have been specifically selected to meet the methodological requirements of the</w:t>
      </w:r>
      <w:r>
        <w:t xml:space="preserve"> </w:t>
      </w:r>
      <w:r>
        <w:t xml:space="preserve">Academic Researcher</w:t>
      </w:r>
      <w:r>
        <w:t xml:space="preserve">’s doctoral-level investigation conducted within the metropolitan area of</w:t>
      </w:r>
      <w:r>
        <w:t xml:space="preserve"> </w:t>
      </w:r>
      <w:r>
        <w:t xml:space="preserve">Indonesia Jakarta</w:t>
      </w:r>
      <w:r>
        <w:t xml:space="preserve">. All procurement activities under this</w:t>
      </w:r>
      <w:r>
        <w:t xml:space="preserve"> </w:t>
      </w:r>
      <w:r>
        <w:t xml:space="preserve">Purchase Order</w:t>
      </w:r>
      <w:r>
        <w:t xml:space="preserve"> </w:t>
      </w:r>
      <w:r>
        <w:t xml:space="preserve">shall comply with the regulations of the Ministry of Education, Culture, Research, and Technology of the Republic of Indonesia and the institutional procurement policies governing academic institutions in</w:t>
      </w:r>
      <w:r>
        <w:t xml:space="preserve"> </w:t>
      </w:r>
      <w:r>
        <w:t xml:space="preserve">Indonesia Jakarta</w:t>
      </w:r>
      <w:r>
        <w:t xml:space="preserve">.</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High-Resolution Air Quality Monitoring Station (for field data collection by the Academic Researcher in Indonesia Jakarta)</w:t>
            </w:r>
          </w:p>
        </w:tc>
        <w:tc>
          <w:tcPr/>
          <w:p>
            <w:pPr>
              <w:pStyle w:val="Compact"/>
              <w:jc w:val="left"/>
            </w:pPr>
            <w:r>
              <w:t xml:space="preserve">PM2.5, PM10, NO2, O3 sensors; IP65 rated</w:t>
            </w:r>
          </w:p>
        </w:tc>
        <w:tc>
          <w:tcPr/>
          <w:p>
            <w:pPr>
              <w:pStyle w:val="Compact"/>
              <w:jc w:val="left"/>
            </w:pPr>
            <w:r>
              <w:t xml:space="preserve">4</w:t>
            </w:r>
          </w:p>
        </w:tc>
        <w:tc>
          <w:tcPr/>
          <w:p>
            <w:pPr>
              <w:pStyle w:val="Compact"/>
              <w:jc w:val="left"/>
            </w:pPr>
            <w:r>
              <w:t xml:space="preserve">Unit</w:t>
            </w:r>
          </w:p>
        </w:tc>
        <w:tc>
          <w:tcPr/>
          <w:p>
            <w:pPr>
              <w:pStyle w:val="Compact"/>
              <w:jc w:val="left"/>
            </w:pPr>
            <w:r>
              <w:t xml:space="preserve">87,500,000</w:t>
            </w:r>
          </w:p>
        </w:tc>
        <w:tc>
          <w:tcPr/>
          <w:p>
            <w:pPr>
              <w:pStyle w:val="Compact"/>
              <w:jc w:val="left"/>
            </w:pPr>
            <w:r>
              <w:t xml:space="preserve">350,000,000</w:t>
            </w:r>
          </w:p>
        </w:tc>
      </w:tr>
      <w:tr>
        <w:tc>
          <w:tcPr/>
          <w:p>
            <w:pPr>
              <w:pStyle w:val="Compact"/>
              <w:jc w:val="left"/>
            </w:pPr>
            <w:r>
              <w:t xml:space="preserve">2</w:t>
            </w:r>
          </w:p>
        </w:tc>
        <w:tc>
          <w:tcPr/>
          <w:p>
            <w:pPr>
              <w:pStyle w:val="Compact"/>
              <w:jc w:val="left"/>
            </w:pPr>
            <w:r>
              <w:t xml:space="preserve">Portable Water Quality Analyzer Kit (for the Academic Researcher’s hydrological sampling in Indonesia Jakarta waterways)</w:t>
            </w:r>
          </w:p>
        </w:tc>
        <w:tc>
          <w:tcPr/>
          <w:p>
            <w:pPr>
              <w:pStyle w:val="Compact"/>
              <w:jc w:val="left"/>
            </w:pPr>
            <w:r>
              <w:t xml:space="preserve">pH, TDS, DO, turbidity, heavy metals</w:t>
            </w:r>
          </w:p>
        </w:tc>
        <w:tc>
          <w:tcPr/>
          <w:p>
            <w:pPr>
              <w:pStyle w:val="Compact"/>
              <w:jc w:val="left"/>
            </w:pPr>
            <w:r>
              <w:t xml:space="preserve">6</w:t>
            </w:r>
          </w:p>
        </w:tc>
        <w:tc>
          <w:tcPr/>
          <w:p>
            <w:pPr>
              <w:pStyle w:val="Compact"/>
              <w:jc w:val="left"/>
            </w:pPr>
            <w:r>
              <w:t xml:space="preserve">Set</w:t>
            </w:r>
          </w:p>
        </w:tc>
        <w:tc>
          <w:tcPr/>
          <w:p>
            <w:pPr>
              <w:pStyle w:val="Compact"/>
              <w:jc w:val="left"/>
            </w:pPr>
            <w:r>
              <w:t xml:space="preserve">12,300,000</w:t>
            </w:r>
          </w:p>
        </w:tc>
        <w:tc>
          <w:tcPr/>
          <w:p>
            <w:pPr>
              <w:pStyle w:val="Compact"/>
              <w:jc w:val="left"/>
            </w:pPr>
            <w:r>
              <w:t xml:space="preserve">73,800,000</w:t>
            </w:r>
          </w:p>
        </w:tc>
      </w:tr>
      <w:tr>
        <w:tc>
          <w:tcPr/>
          <w:p>
            <w:pPr>
              <w:pStyle w:val="Compact"/>
              <w:jc w:val="left"/>
            </w:pPr>
            <w:r>
              <w:t xml:space="preserve">3</w:t>
            </w:r>
          </w:p>
        </w:tc>
        <w:tc>
          <w:tcPr/>
          <w:p>
            <w:pPr>
              <w:pStyle w:val="Compact"/>
              <w:jc w:val="left"/>
            </w:pPr>
            <w:r>
              <w:t xml:space="preserve">GPS-Enabled Field Data Logger with Solar Charging (for the Academic Researcher’s longitudinal study in Indonesia Jakarta)</w:t>
            </w:r>
          </w:p>
        </w:tc>
        <w:tc>
          <w:tcPr/>
          <w:p>
            <w:pPr>
              <w:pStyle w:val="Compact"/>
              <w:jc w:val="left"/>
            </w:pPr>
            <w:r>
              <w:t xml:space="preserve">RTK GPS, 4G LTE, 12-month battery</w:t>
            </w:r>
          </w:p>
        </w:tc>
        <w:tc>
          <w:tcPr/>
          <w:p>
            <w:pPr>
              <w:pStyle w:val="Compact"/>
              <w:jc w:val="left"/>
            </w:pPr>
            <w:r>
              <w:t xml:space="preserve">8</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Refrigerated Sample Transport Case (for the Academic Researcher’s biological specimen handling in Indonesia Jakarta)</w:t>
            </w:r>
          </w:p>
        </w:tc>
        <w:tc>
          <w:tcPr/>
          <w:p>
            <w:pPr>
              <w:pStyle w:val="Compact"/>
              <w:jc w:val="left"/>
            </w:pPr>
            <w:r>
              <w:t xml:space="preserve">2–8°C, 48-hr autonomy, 60L capacity</w:t>
            </w:r>
          </w:p>
        </w:tc>
        <w:tc>
          <w:tcPr/>
          <w:p>
            <w:pPr>
              <w:pStyle w:val="Compact"/>
              <w:jc w:val="left"/>
            </w:pPr>
            <w:r>
              <w:t xml:space="preserve">3</w:t>
            </w:r>
          </w:p>
        </w:tc>
        <w:tc>
          <w:tcPr/>
          <w:p>
            <w:pPr>
              <w:pStyle w:val="Compact"/>
              <w:jc w:val="left"/>
            </w:pPr>
            <w:r>
              <w:t xml:space="preserve">Unit</w:t>
            </w:r>
          </w:p>
        </w:tc>
        <w:tc>
          <w:tcPr/>
          <w:p>
            <w:pPr>
              <w:pStyle w:val="Compact"/>
              <w:jc w:val="left"/>
            </w:pPr>
            <w:r>
              <w:t xml:space="preserve">9,200,000</w:t>
            </w:r>
          </w:p>
        </w:tc>
        <w:tc>
          <w:tcPr/>
          <w:p>
            <w:pPr>
              <w:pStyle w:val="Compact"/>
              <w:jc w:val="left"/>
            </w:pPr>
            <w:r>
              <w:t xml:space="preserve">27,600,000</w:t>
            </w:r>
          </w:p>
        </w:tc>
      </w:tr>
      <w:tr>
        <w:tc>
          <w:tcPr/>
          <w:p>
            <w:pPr>
              <w:pStyle w:val="Compact"/>
              <w:jc w:val="left"/>
            </w:pPr>
            <w:r>
              <w:t xml:space="preserve">5</w:t>
            </w:r>
          </w:p>
        </w:tc>
        <w:tc>
          <w:tcPr/>
          <w:p>
            <w:pPr>
              <w:pStyle w:val="Compact"/>
              <w:jc w:val="left"/>
            </w:pPr>
            <w:r>
              <w:t xml:space="preserve">Statistical Software License — SPSS &amp; R Studio (for the Academic Researcher’s data analysis in Indonesia Jakarta)</w:t>
            </w:r>
          </w:p>
        </w:tc>
        <w:tc>
          <w:tcPr/>
          <w:p>
            <w:pPr>
              <w:pStyle w:val="Compact"/>
              <w:jc w:val="left"/>
            </w:pPr>
            <w:r>
              <w:t xml:space="preserve">5-year institutional license, 10 seats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Professional Laboratory PPE &amp; Consumables Bundle (for the Academic Researcher’s wet-lab work in Indonesia Jakarta)</w:t>
            </w:r>
          </w:p>
        </w:tc>
        <w:tc>
          <w:tcPr/>
          <w:p>
            <w:pPr>
              <w:pStyle w:val="Compact"/>
              <w:jc w:val="left"/>
            </w:pPr>
            <w:r>
              <w:t xml:space="preserve">N95 masks, nitrile gloves, pipette tips, reagents</w:t>
            </w:r>
          </w:p>
        </w:tc>
        <w:tc>
          <w:tcPr/>
          <w:p>
            <w:pPr>
              <w:pStyle w:val="Compact"/>
              <w:jc w:val="left"/>
            </w:pPr>
            <w:r>
              <w:t xml:space="preserve">12</w:t>
            </w:r>
          </w:p>
        </w:tc>
        <w:tc>
          <w:tcPr/>
          <w:p>
            <w:pPr>
              <w:pStyle w:val="Compact"/>
              <w:jc w:val="left"/>
            </w:pPr>
            <w:r>
              <w:t xml:space="preserve">Bundle</w:t>
            </w:r>
          </w:p>
        </w:tc>
        <w:tc>
          <w:tcPr/>
          <w:p>
            <w:pPr>
              <w:pStyle w:val="Compact"/>
              <w:jc w:val="left"/>
            </w:pPr>
            <w:r>
              <w:t xml:space="preserve">3,450,000</w:t>
            </w:r>
          </w:p>
        </w:tc>
        <w:tc>
          <w:tcPr/>
          <w:p>
            <w:pPr>
              <w:pStyle w:val="Compact"/>
              <w:jc w:val="left"/>
            </w:pPr>
            <w:r>
              <w:t xml:space="preserve">41,400,000</w:t>
            </w:r>
          </w:p>
        </w:tc>
      </w:tr>
      <w:tr>
        <w:tc>
          <w:tcPr/>
          <w:p>
            <w:pPr>
              <w:pStyle w:val="Compact"/>
              <w:jc w:val="left"/>
            </w:pPr>
            <w:r>
              <w:t xml:space="preserve">7</w:t>
            </w:r>
          </w:p>
        </w:tc>
        <w:tc>
          <w:tcPr/>
          <w:p>
            <w:pPr>
              <w:pStyle w:val="Compact"/>
              <w:jc w:val="left"/>
            </w:pPr>
            <w:r>
              <w:t xml:space="preserve">Technical Support &amp; Calibration Service (annual maintenance for all instruments used by the Academic Researcher in Indonesia Jakarta)</w:t>
            </w:r>
          </w:p>
        </w:tc>
        <w:tc>
          <w:tcPr/>
          <w:p>
            <w:pPr>
              <w:pStyle w:val="Compact"/>
              <w:jc w:val="left"/>
            </w:pPr>
            <w:r>
              <w:t xml:space="preserve">On-site, 4x per year, Jakarta metro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28,000,000</w:t>
            </w:r>
          </w:p>
        </w:tc>
        <w:tc>
          <w:tcPr/>
          <w:p>
            <w:pPr>
              <w:pStyle w:val="Compact"/>
              <w:jc w:val="left"/>
            </w:pPr>
            <w:r>
              <w:t xml:space="preserve">28,000,000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715,800,000</w:t>
            </w:r>
          </w:p>
        </w:tc>
      </w:tr>
      <w:tr>
        <w:tc>
          <w:tcPr/>
          <w:p>
            <w:pPr>
              <w:pStyle w:val="Compact"/>
              <w:jc w:val="left"/>
            </w:pPr>
            <w:r>
              <w:t xml:space="preserve">VAT (PPN) 11%</w:t>
            </w:r>
          </w:p>
        </w:tc>
        <w:tc>
          <w:tcPr/>
          <w:p>
            <w:pPr>
              <w:pStyle w:val="Compact"/>
              <w:jc w:val="right"/>
            </w:pPr>
            <w:r>
              <w:t xml:space="preserve">78,738,000</w:t>
            </w:r>
          </w:p>
        </w:tc>
      </w:tr>
      <w:tr>
        <w:tc>
          <w:tcPr/>
          <w:p>
            <w:pPr>
              <w:pStyle w:val="Compact"/>
              <w:jc w:val="left"/>
            </w:pPr>
            <w:r>
              <w:t xml:space="preserve">Shipping &amp; Handling (within Indonesia Jakarta)</w:t>
            </w:r>
          </w:p>
        </w:tc>
        <w:tc>
          <w:tcPr/>
          <w:p>
            <w:pPr>
              <w:pStyle w:val="Compact"/>
              <w:jc w:val="right"/>
            </w:pPr>
            <w:r>
              <w:t xml:space="preserve">5,200,000</w:t>
            </w:r>
          </w:p>
        </w:tc>
      </w:tr>
      <w:tr>
        <w:tc>
          <w:tcPr/>
          <w:p>
            <w:pPr>
              <w:pStyle w:val="Compact"/>
              <w:jc w:val="left"/>
            </w:pPr>
            <w:r>
              <w:t xml:space="preserve">Grand Total (IDR)</w:t>
            </w:r>
          </w:p>
        </w:tc>
        <w:tc>
          <w:tcPr/>
          <w:p>
            <w:pPr>
              <w:pStyle w:val="Compact"/>
              <w:jc w:val="right"/>
            </w:pPr>
            <w:r>
              <w:t xml:space="preserve">799,738,000</w:t>
            </w:r>
          </w:p>
        </w:tc>
      </w:tr>
    </w:tbl>
    <w:p>
      <w:pPr>
        <w:pStyle w:val="BodyText"/>
      </w:pPr>
      <w:r>
        <w:rPr>
          <w:bCs/>
          <w:b/>
        </w:rPr>
        <w:t xml:space="preserve">Note:</w:t>
      </w:r>
      <w:r>
        <w:t xml:space="preserve"> </w:t>
      </w:r>
      <w:r>
        <w:t xml:space="preserve">All equipment and materials procured under this Purchase Order are designated exclusively for the use of the named Academic Researcher and shall be stored at the Institute’s laboratory facility in Indonesia Jakarta. The Academic Researcher is responsible for the proper handling, maintenance, and eventual return or disposal of all items in accordance with institutional asset management policies.</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items listed in this Purchase Order to the designated laboratory address in Indonesia Jakarta no later than 30 July 2025. Delivery shall be made DDP (Delivered Duty Paid) to the Institute’s premises in Indonesia Jakarta, with all transportation, insurance, and customs clearance costs borne by the Supplier.</w:t>
      </w:r>
    </w:p>
    <w:p>
      <w:pPr>
        <w:numPr>
          <w:ilvl w:val="0"/>
          <w:numId w:val="1001"/>
        </w:numPr>
        <w:pStyle w:val="Compact"/>
      </w:pPr>
      <w:r>
        <w:rPr>
          <w:bCs/>
          <w:b/>
        </w:rPr>
        <w:t xml:space="preserve">Acceptance:</w:t>
      </w:r>
      <w:r>
        <w:t xml:space="preserve"> </w:t>
      </w:r>
      <w:r>
        <w:t xml:space="preserve">Upon delivery, the Academic Researcher and the Institute’s procurement officer shall jointly inspect all items within five (5) business days. Any discrepancies, damages, or non-conformities must be reported in writing to the Supplier within this period. Failure to report shall constitute acceptance of the goods.</w:t>
      </w:r>
    </w:p>
    <w:p>
      <w:pPr>
        <w:numPr>
          <w:ilvl w:val="0"/>
          <w:numId w:val="1001"/>
        </w:numPr>
        <w:pStyle w:val="Compact"/>
      </w:pPr>
      <w:r>
        <w:rPr>
          <w:bCs/>
          <w:b/>
        </w:rPr>
        <w:t xml:space="preserve">Payment:</w:t>
      </w:r>
      <w:r>
        <w:t xml:space="preserve"> </w:t>
      </w:r>
      <w:r>
        <w:t xml:space="preserve">Payment of the full amount stated in this Purchase Order shall be made via bank transfer to the Supplier’s designated account within thirty (30) calendar days from the date of confirmed acceptance. The payment shall be processed through the Institute’s finance department in Indonesia Jakarta in accordance with applicable Indonesian tax regulations, including the withholding of PPh 23 (2%) where applicable.</w:t>
      </w:r>
    </w:p>
    <w:p>
      <w:pPr>
        <w:numPr>
          <w:ilvl w:val="0"/>
          <w:numId w:val="1001"/>
        </w:numPr>
        <w:pStyle w:val="Compact"/>
      </w:pPr>
      <w:r>
        <w:rPr>
          <w:bCs/>
          <w:b/>
        </w:rPr>
        <w:t xml:space="preserve">Warranty:</w:t>
      </w:r>
      <w:r>
        <w:t xml:space="preserve"> </w:t>
      </w:r>
      <w:r>
        <w:t xml:space="preserve">All equipment shall carry a minimum warranty period of twenty-four (24) months from the date of acceptance. The Supplier shall provide on-site repair or replacement services within Indonesia Jakarta at no additional cost to the Institute during the warranty period.</w:t>
      </w:r>
    </w:p>
    <w:p>
      <w:pPr>
        <w:numPr>
          <w:ilvl w:val="0"/>
          <w:numId w:val="1001"/>
        </w:numPr>
        <w:pStyle w:val="Compact"/>
      </w:pPr>
      <w:r>
        <w:rPr>
          <w:bCs/>
          <w:b/>
        </w:rPr>
        <w:t xml:space="preserve">Intellectual Property:</w:t>
      </w:r>
      <w:r>
        <w:t xml:space="preserve"> </w:t>
      </w:r>
      <w:r>
        <w:t xml:space="preserve">All data generated by the Academic Researcher using the procured equipment in Indonesia Jakarta shall remain the sole intellectual property of the Institute. The Supplier shall not claim any rights over research outputs, publications, or findings derived from the use of these materials.</w:t>
      </w:r>
    </w:p>
    <w:p>
      <w:pPr>
        <w:numPr>
          <w:ilvl w:val="0"/>
          <w:numId w:val="1001"/>
        </w:numPr>
        <w:pStyle w:val="Compact"/>
      </w:pPr>
      <w:r>
        <w:rPr>
          <w:bCs/>
          <w:b/>
        </w:rPr>
        <w:t xml:space="preserve">Compliance:</w:t>
      </w:r>
      <w:r>
        <w:t xml:space="preserve"> </w:t>
      </w:r>
      <w:r>
        <w:t xml:space="preserve">The Supplier warrants that all items comply with the standards set by the National Standardization Agency of Indonesia (BSN) and any relevant regulations of the Ministry of Research, Technology, and Higher Education. The Academic Researcher’s use of these materials in Indonesia Jakarta shall be conducted in full compliance with institutional ethics review board (KEPK) approvals.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Indonesia Jakarta, provided that the affected party notifies the other in writing within seven (7) days of the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the Commercial Court in Jakarta, Indonesia Jakarta, or through arbitration under the rules of the Indonesian National Board of Arbitration (BANI) if both parties agree.</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authorized representatives of both parties. Any change in scope affecting the Academic Researcher’s project timeline in Indonesia Jakarta must be documented as a formal amendment to this Purchase Order.</w:t>
      </w:r>
    </w:p>
    <w:p>
      <w:pPr>
        <w:pStyle w:val="FirstParagraph"/>
      </w:pPr>
      <w:r>
        <w:t xml:space="preserve">Authorized Signatures</w:t>
      </w:r>
    </w:p>
    <w:p>
      <w:pPr>
        <w:pStyle w:val="BodyText"/>
      </w:pPr>
      <w:r>
        <w:rPr>
          <w:bCs/>
          <w:b/>
        </w:rPr>
        <w:t xml:space="preserve">For and on behalf of the Purchaser:</w:t>
      </w:r>
    </w:p>
    <w:p>
      <w:pPr>
        <w:pStyle w:val="BodyText"/>
      </w:pPr>
      <w:r>
        <w:t xml:space="preserve">Institute of Advanced Research &amp; Development</w:t>
      </w:r>
    </w:p>
    <w:p>
      <w:pPr>
        <w:pStyle w:val="BodyText"/>
      </w:pPr>
      <w:r>
        <w:rPr>
          <w:bCs/>
          <w:b/>
        </w:rPr>
        <w:t xml:space="preserve">Dr. Hendra Wijaya, Ph.D.</w:t>
      </w:r>
      <w:r>
        <w:br/>
      </w:r>
      <w:r>
        <w:t xml:space="preserve">Head of Procurement &amp; Research Operations</w:t>
      </w:r>
      <w:r>
        <w:br/>
      </w:r>
      <w:r>
        <w:t xml:space="preserve">Date: _______________</w:t>
      </w:r>
    </w:p>
    <w:p>
      <w:pPr>
        <w:pStyle w:val="BodyText"/>
      </w:pPr>
      <w:r>
        <w:rPr>
          <w:bCs/>
          <w:b/>
        </w:rPr>
        <w:t xml:space="preserve">For and on behalf of the Supplier:</w:t>
      </w:r>
    </w:p>
    <w:p>
      <w:pPr>
        <w:pStyle w:val="BodyText"/>
      </w:pPr>
      <w:r>
        <w:t xml:space="preserve">PT Nusantara Scientific Supplies</w:t>
      </w:r>
    </w:p>
    <w:p>
      <w:pPr>
        <w:pStyle w:val="BodyText"/>
      </w:pPr>
      <w:r>
        <w:rPr>
          <w:bCs/>
          <w:b/>
        </w:rPr>
        <w:t xml:space="preserve">Sari Kusuma, S.E., M.M.</w:t>
      </w:r>
      <w:r>
        <w:br/>
      </w:r>
      <w:r>
        <w:t xml:space="preserve">Director of Sales &amp; Business Development</w:t>
      </w:r>
      <w:r>
        <w:br/>
      </w:r>
      <w:r>
        <w:t xml:space="preserve">Date: _______________</w:t>
      </w:r>
    </w:p>
    <w:p>
      <w:pPr>
        <w:pStyle w:val="BodyText"/>
      </w:pPr>
      <w:r>
        <w:rPr>
          <w:bCs/>
          <w:b/>
        </w:rPr>
        <w:t xml:space="preserve">Acknowledged by the Academic Researcher:</w:t>
      </w:r>
    </w:p>
    <w:p>
      <w:pPr>
        <w:pStyle w:val="BodyText"/>
      </w:pPr>
      <w:r>
        <w:t xml:space="preserve">Principal Investigator</w:t>
      </w:r>
    </w:p>
    <w:p>
      <w:pPr>
        <w:pStyle w:val="BodyText"/>
      </w:pPr>
      <w:r>
        <w:rPr>
          <w:bCs/>
          <w:b/>
        </w:rPr>
        <w:t xml:space="preserve">Dr. Anindya Prameswari, Ph.D.</w:t>
      </w:r>
      <w:r>
        <w:br/>
      </w:r>
      <w:r>
        <w:t xml:space="preserve">Senior Academic Researcher</w:t>
      </w:r>
      <w:r>
        <w:br/>
      </w:r>
      <w:r>
        <w:t xml:space="preserve">Date: _______________</w:t>
      </w:r>
    </w:p>
    <w:p>
      <w:pPr>
        <w:pStyle w:val="BodyText"/>
      </w:pPr>
      <w:r>
        <w:t xml:space="preserve">This Purchase Order document (PO-JKT-AR-2025-0047) is issued by the Institute of Advanced Research &amp; Development, Indonesia Jakarta, for the procurement of research materials in support of the Academic Researcher’s project. This document is valid only when signed by all authorized parties. Uncontrolled when printed. © 2025 Institute of Advanced Research &amp; Development,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Indonesia Jakarta</dc:title>
  <dc:creator/>
  <dc:language>en</dc:language>
  <cp:keywords/>
  <dcterms:created xsi:type="dcterms:W3CDTF">2026-10-10T01:58:53Z</dcterms:created>
  <dcterms:modified xsi:type="dcterms:W3CDTF">2026-10-10T01:58:53Z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