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Academic Researcher Procurement — Iraq Baghdad</w:t>
      </w:r>
    </w:p>
    <w:p>
      <w:pPr>
        <w:pStyle w:val="BodyText"/>
      </w:pPr>
      <w:r>
        <w:t xml:space="preserve">Document Reference: PO-IRQ-BGD-2025-04782</w:t>
      </w:r>
    </w:p>
    <w:bookmarkEnd w:id="20"/>
    <w:p>
      <w:pPr>
        <w:pStyle w:val="BodyText"/>
      </w:pPr>
      <w:r>
        <w:rPr>
          <w:bCs/>
          <w:b/>
        </w:rPr>
        <w:t xml:space="preserve">Purchase Order No.:</w:t>
      </w:r>
      <w:r>
        <w:t xml:space="preserve"> </w:t>
      </w:r>
      <w:r>
        <w:t xml:space="preserve">PO-IRQ-BGD-2025-04782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Baghdad, Iraq</w:t>
      </w:r>
      <w:r>
        <w:br/>
      </w:r>
      <w:r>
        <w:rPr>
          <w:bCs/>
          <w:b/>
        </w:rPr>
        <w:t xml:space="preserve">Payment Currency:</w:t>
      </w:r>
      <w:r>
        <w:t xml:space="preserve"> </w:t>
      </w:r>
      <w:r>
        <w:t xml:space="preserve">Iraqi Dinar (IQD) / USD</w:t>
      </w:r>
      <w:r>
        <w:br/>
      </w:r>
      <w:r>
        <w:rPr>
          <w:bCs/>
          <w:b/>
        </w:rPr>
        <w:t xml:space="preserve">Incoterms:</w:t>
      </w:r>
      <w:r>
        <w:t xml:space="preserve"> </w:t>
      </w:r>
      <w:r>
        <w:t xml:space="preserve">DDP Baghdad</w:t>
      </w:r>
    </w:p>
    <w:bookmarkStart w:id="21" w:name="buyer-requisitioning-party"/>
    <w:p>
      <w:pPr>
        <w:pStyle w:val="Heading3"/>
      </w:pPr>
      <w:r>
        <w:t xml:space="preserve">BUYER (Requisitioning Party)</w:t>
      </w:r>
    </w:p>
    <w:p>
      <w:pPr>
        <w:pStyle w:val="FirstParagraph"/>
      </w:pPr>
      <w:r>
        <w:rPr>
          <w:bCs/>
          <w:b/>
        </w:rPr>
        <w:t xml:space="preserve">Name:</w:t>
      </w:r>
      <w:r>
        <w:t xml:space="preserve"> </w:t>
      </w:r>
      <w:r>
        <w:t xml:space="preserve">Dr. Layla H. Al-Rashid</w:t>
      </w:r>
      <w:r>
        <w:br/>
      </w:r>
      <w:r>
        <w:rPr>
          <w:bCs/>
          <w:b/>
        </w:rPr>
        <w:t xml:space="preserve">Title:</w:t>
      </w:r>
      <w:r>
        <w:t xml:space="preserve"> </w:t>
      </w:r>
      <w:r>
        <w:t xml:space="preserve">Senior Academic Researcher, Department of Applied Sciences</w:t>
      </w:r>
      <w:r>
        <w:br/>
      </w:r>
      <w:r>
        <w:rPr>
          <w:bCs/>
          <w:b/>
        </w:rPr>
        <w:t xml:space="preserve">Institution:</w:t>
      </w:r>
      <w:r>
        <w:t xml:space="preserve"> </w:t>
      </w:r>
      <w:r>
        <w:t xml:space="preserve">University of Baghdad, College of Science</w:t>
      </w:r>
      <w:r>
        <w:br/>
      </w:r>
      <w:r>
        <w:rPr>
          <w:bCs/>
          <w:b/>
        </w:rPr>
        <w:t xml:space="preserve">Address:</w:t>
      </w:r>
      <w:r>
        <w:t xml:space="preserve"> </w:t>
      </w:r>
      <w:r>
        <w:t xml:space="preserve">Al-Jadriya District, Baghdad, Iraq</w:t>
      </w:r>
      <w:r>
        <w:br/>
      </w:r>
      <w:r>
        <w:rPr>
          <w:bCs/>
          <w:b/>
        </w:rPr>
        <w:t xml:space="preserve">Email:</w:t>
      </w:r>
      <w:r>
        <w:t xml:space="preserve"> </w:t>
      </w:r>
      <w:r>
        <w:t xml:space="preserve">l.alrashid@uobaghdad.edu.iq</w:t>
      </w:r>
      <w:r>
        <w:br/>
      </w:r>
      <w:r>
        <w:rPr>
          <w:bCs/>
          <w:b/>
        </w:rPr>
        <w:t xml:space="preserve">Phone:</w:t>
      </w:r>
      <w:r>
        <w:t xml:space="preserve"> </w:t>
      </w:r>
      <w:r>
        <w:t xml:space="preserve">+964 770 555 0142</w:t>
      </w:r>
      <w:r>
        <w:br/>
      </w:r>
      <w:r>
        <w:rPr>
          <w:bCs/>
          <w:b/>
        </w:rPr>
        <w:t xml:space="preserve">Research Grant Ref.:</w:t>
      </w:r>
      <w:r>
        <w:t xml:space="preserve"> </w:t>
      </w:r>
      <w:r>
        <w:t xml:space="preserve">UOB-RES-2025-0317</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Mesopotamia Scientific Instruments Co.</w:t>
      </w:r>
      <w:r>
        <w:br/>
      </w:r>
      <w:r>
        <w:rPr>
          <w:bCs/>
          <w:b/>
        </w:rPr>
        <w:t xml:space="preserve">Representative:</w:t>
      </w:r>
      <w:r>
        <w:t xml:space="preserve"> </w:t>
      </w:r>
      <w:r>
        <w:t xml:space="preserve">Mr. Karim T. Al-Jabiri</w:t>
      </w:r>
      <w:r>
        <w:br/>
      </w:r>
      <w:r>
        <w:rPr>
          <w:bCs/>
          <w:b/>
        </w:rPr>
        <w:t xml:space="preserve">Address:</w:t>
      </w:r>
      <w:r>
        <w:t xml:space="preserve"> </w:t>
      </w:r>
      <w:r>
        <w:t xml:space="preserve">42 Al-Mansour Commercial Street, Baghdad, Iraq</w:t>
      </w:r>
      <w:r>
        <w:br/>
      </w:r>
      <w:r>
        <w:rPr>
          <w:bCs/>
          <w:b/>
        </w:rPr>
        <w:t xml:space="preserve">Tax ID:</w:t>
      </w:r>
      <w:r>
        <w:t xml:space="preserve"> </w:t>
      </w:r>
      <w:r>
        <w:t xml:space="preserve">14-2025-887341</w:t>
      </w:r>
      <w:r>
        <w:br/>
      </w:r>
      <w:r>
        <w:rPr>
          <w:bCs/>
          <w:b/>
        </w:rPr>
        <w:t xml:space="preserve">Email:</w:t>
      </w:r>
      <w:r>
        <w:t xml:space="preserve"> </w:t>
      </w:r>
      <w:r>
        <w:t xml:space="preserve">sales@mesoscientific.iq</w:t>
      </w:r>
      <w:r>
        <w:br/>
      </w:r>
      <w:r>
        <w:rPr>
          <w:bCs/>
          <w:b/>
        </w:rPr>
        <w:t xml:space="preserve">Phone:</w:t>
      </w:r>
      <w:r>
        <w:t xml:space="preserve"> </w:t>
      </w:r>
      <w:r>
        <w:t xml:space="preserve">+964 781 220 5567</w:t>
      </w:r>
      <w:r>
        <w:br/>
      </w:r>
      <w:r>
        <w:rPr>
          <w:bCs/>
          <w:b/>
        </w:rPr>
        <w:t xml:space="preserve">Bank:</w:t>
      </w:r>
      <w:r>
        <w:t xml:space="preserve"> </w:t>
      </w:r>
      <w:r>
        <w:t xml:space="preserve">Central Bank of Iraq, Branch 12</w:t>
      </w:r>
      <w:r>
        <w:br/>
      </w:r>
      <w:r>
        <w:rPr>
          <w:bCs/>
          <w:b/>
        </w:rPr>
        <w:t xml:space="preserve">IBAN:</w:t>
      </w:r>
      <w:r>
        <w:t xml:space="preserve"> </w:t>
      </w:r>
      <w:r>
        <w:t xml:space="preserve">IQ98 CBIQ 0123 4567 8901 2345</w:t>
      </w:r>
    </w:p>
    <w:bookmarkEnd w:id="22"/>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undersigned</w:t>
      </w:r>
      <w:r>
        <w:t xml:space="preserve"> </w:t>
      </w:r>
      <w:r>
        <w:t xml:space="preserve">Academic Researcher</w:t>
      </w:r>
      <w:r>
        <w:t xml:space="preserve">, Dr. Layla H. Al-Rashid, in her capacity as Principal Investigator for the funded research project titled</w:t>
      </w:r>
      <w:r>
        <w:t xml:space="preserve"> </w:t>
      </w:r>
      <w:r>
        <w:rPr>
          <w:iCs/>
          <w:i/>
        </w:rPr>
        <w:t xml:space="preserve">"Environmental Contamination Assessment of the Tigris River Basin: A Multi-Year Longitudinal Study"</w:t>
      </w:r>
      <w:r>
        <w:t xml:space="preserve">. The purpose of this</w:t>
      </w:r>
      <w:r>
        <w:t xml:space="preserve"> </w:t>
      </w:r>
      <w:r>
        <w:t xml:space="preserve">Purchase Order</w:t>
      </w:r>
      <w:r>
        <w:t xml:space="preserve"> </w:t>
      </w:r>
      <w:r>
        <w:t xml:space="preserve">is to formally authorize the procurement of specialized laboratory equipment, analytical reagents, field sampling apparatus, and computational resources required to advance the stated research objectives. All items listed herein are to be delivered to the University of Baghdad research laboratory located in the Al-Jadriya District of</w:t>
      </w:r>
      <w:r>
        <w:t xml:space="preserve"> </w:t>
      </w:r>
      <w:r>
        <w:t xml:space="preserve">Iraq Baghdad</w:t>
      </w:r>
      <w:r>
        <w:t xml:space="preserve">, where the</w:t>
      </w:r>
      <w:r>
        <w:t xml:space="preserve"> </w:t>
      </w:r>
      <w:r>
        <w:t xml:space="preserve">Academic Researcher</w:t>
      </w:r>
      <w:r>
        <w:t xml:space="preserve"> </w:t>
      </w:r>
      <w:r>
        <w:t xml:space="preserve">and her team of four graduate assistants will conduct the primary experimental work. This</w:t>
      </w:r>
      <w:r>
        <w:t xml:space="preserve"> </w:t>
      </w:r>
      <w:r>
        <w:t xml:space="preserve">Purchase Order</w:t>
      </w:r>
      <w:r>
        <w:t xml:space="preserve"> </w:t>
      </w:r>
      <w:r>
        <w:t xml:space="preserve">constitutes a binding commitment between the buyer and the seller under the commercial laws of the Republic of Iraq and the procurement regulations of the University of Baghdad.</w:t>
      </w:r>
    </w:p>
    <w:p>
      <w:pPr>
        <w:pStyle w:val="BodyText"/>
      </w:pPr>
      <w:r>
        <w:t xml:space="preserve">2. LINE ITEMS AND QUOTED PRICES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Inductively Coupled Plasma Mass Spectrometer (ICP-MS), Agilent 7900 series, with full calibration kit and installation service in Baghdad</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Portable Water Quality Multi-Parameter Analyzer (pH, DO, Turbidity, Conductivity, Temperature), YSI ProDSS 6</w:t>
            </w:r>
          </w:p>
        </w:tc>
        <w:tc>
          <w:tcPr/>
          <w:p>
            <w:pPr>
              <w:pStyle w:val="Compact"/>
              <w:jc w:val="left"/>
            </w:pPr>
            <w:r>
              <w:t xml:space="preserve">4</w:t>
            </w:r>
          </w:p>
        </w:tc>
        <w:tc>
          <w:tcPr/>
          <w:p>
            <w:pPr>
              <w:pStyle w:val="Compact"/>
              <w:jc w:val="left"/>
            </w:pPr>
            <w:r>
              <w:t xml:space="preserve">4,250.00</w:t>
            </w:r>
          </w:p>
        </w:tc>
        <w:tc>
          <w:tcPr/>
          <w:p>
            <w:pPr>
              <w:pStyle w:val="Compact"/>
              <w:jc w:val="left"/>
            </w:pPr>
            <w:r>
              <w:t xml:space="preserve">17,000.00</w:t>
            </w:r>
          </w:p>
        </w:tc>
      </w:tr>
      <w:tr>
        <w:tc>
          <w:tcPr/>
          <w:p>
            <w:pPr>
              <w:pStyle w:val="Compact"/>
              <w:jc w:val="left"/>
            </w:pPr>
            <w:r>
              <w:t xml:space="preserve">03</w:t>
            </w:r>
          </w:p>
        </w:tc>
        <w:tc>
          <w:tcPr/>
          <w:p>
            <w:pPr>
              <w:pStyle w:val="Compact"/>
              <w:jc w:val="left"/>
            </w:pPr>
            <w:r>
              <w:t xml:space="preserve">High-Performance Liquid Chromatography (HPLC) System with UV-Vis Detector, Waters Alliance e2695</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04</w:t>
            </w:r>
          </w:p>
        </w:tc>
        <w:tc>
          <w:tcPr/>
          <w:p>
            <w:pPr>
              <w:pStyle w:val="Compact"/>
              <w:jc w:val="left"/>
            </w:pPr>
            <w:r>
              <w:t xml:space="preserve">Field Sampling Kits (composite grab samplers, Niskin bottles, chain pumps, PPE), 20 complete sets</w:t>
            </w:r>
          </w:p>
        </w:tc>
        <w:tc>
          <w:tcPr/>
          <w:p>
            <w:pPr>
              <w:pStyle w:val="Compact"/>
              <w:jc w:val="left"/>
            </w:pPr>
            <w:r>
              <w:t xml:space="preserve">20</w:t>
            </w:r>
          </w:p>
        </w:tc>
        <w:tc>
          <w:tcPr/>
          <w:p>
            <w:pPr>
              <w:pStyle w:val="Compact"/>
              <w:jc w:val="left"/>
            </w:pPr>
            <w:r>
              <w:t xml:space="preserve">380.00</w:t>
            </w:r>
          </w:p>
        </w:tc>
        <w:tc>
          <w:tcPr/>
          <w:p>
            <w:pPr>
              <w:pStyle w:val="Compact"/>
              <w:jc w:val="left"/>
            </w:pPr>
            <w:r>
              <w:t xml:space="preserve">7,600.00</w:t>
            </w:r>
          </w:p>
        </w:tc>
      </w:tr>
      <w:tr>
        <w:tc>
          <w:tcPr/>
          <w:p>
            <w:pPr>
              <w:pStyle w:val="Compact"/>
              <w:jc w:val="left"/>
            </w:pPr>
            <w:r>
              <w:t xml:space="preserve">05</w:t>
            </w:r>
          </w:p>
        </w:tc>
        <w:tc>
          <w:tcPr/>
          <w:p>
            <w:pPr>
              <w:pStyle w:val="Compact"/>
              <w:jc w:val="left"/>
            </w:pPr>
            <w:r>
              <w:t xml:space="preserve">Refrigerated Centrifuge, 4L capacity, 15,000 RPM, with 4x50mL rotor</w:t>
            </w:r>
          </w:p>
        </w:tc>
        <w:tc>
          <w:tcPr/>
          <w:p>
            <w:pPr>
              <w:pStyle w:val="Compact"/>
              <w:jc w:val="left"/>
            </w:pPr>
            <w:r>
              <w:t xml:space="preserve">2</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06</w:t>
            </w:r>
          </w:p>
        </w:tc>
        <w:tc>
          <w:tcPr/>
          <w:p>
            <w:pPr>
              <w:pStyle w:val="Compact"/>
              <w:jc w:val="left"/>
            </w:pPr>
            <w:r>
              <w:t xml:space="preserve">Desktop Workstation for Data Analysis (Intel i9, 64GB RAM, 2TB SSD, NVIDIA RTX 4090), for GIS and statistical modeling</w:t>
            </w:r>
          </w:p>
        </w:tc>
        <w:tc>
          <w:tcPr/>
          <w:p>
            <w:pPr>
              <w:pStyle w:val="Compact"/>
              <w:jc w:val="left"/>
            </w:pPr>
            <w:r>
              <w:t xml:space="preserve">3</w:t>
            </w:r>
          </w:p>
        </w:tc>
        <w:tc>
          <w:tcPr/>
          <w:p>
            <w:pPr>
              <w:pStyle w:val="Compact"/>
              <w:jc w:val="left"/>
            </w:pPr>
            <w:r>
              <w:t xml:space="preserve">5,400.00</w:t>
            </w:r>
          </w:p>
        </w:tc>
        <w:tc>
          <w:tcPr/>
          <w:p>
            <w:pPr>
              <w:pStyle w:val="Compact"/>
              <w:jc w:val="left"/>
            </w:pPr>
            <w:r>
              <w:t xml:space="preserve">16,200.00</w:t>
            </w:r>
          </w:p>
        </w:tc>
      </w:tr>
      <w:tr>
        <w:tc>
          <w:tcPr/>
          <w:p>
            <w:pPr>
              <w:pStyle w:val="Compact"/>
              <w:jc w:val="left"/>
            </w:pPr>
            <w:r>
              <w:t xml:space="preserve">07</w:t>
            </w:r>
          </w:p>
        </w:tc>
        <w:tc>
          <w:tcPr/>
          <w:p>
            <w:pPr>
              <w:pStyle w:val="Compact"/>
              <w:jc w:val="left"/>
            </w:pPr>
            <w:r>
              <w:t xml:space="preserve">GPS Differential Receiver (RTK) for precise river-basin sampling point mapping, Trimble R12i</w:t>
            </w:r>
          </w:p>
        </w:tc>
        <w:tc>
          <w:tcPr/>
          <w:p>
            <w:pPr>
              <w:pStyle w:val="Compact"/>
              <w:jc w:val="left"/>
            </w:pPr>
            <w:r>
              <w:t xml:space="preserve">2</w:t>
            </w:r>
          </w:p>
        </w:tc>
        <w:tc>
          <w:tcPr/>
          <w:p>
            <w:pPr>
              <w:pStyle w:val="Compact"/>
              <w:jc w:val="left"/>
            </w:pPr>
            <w:r>
              <w:t xml:space="preserve">12,750.00</w:t>
            </w:r>
          </w:p>
        </w:tc>
        <w:tc>
          <w:tcPr/>
          <w:p>
            <w:pPr>
              <w:pStyle w:val="Compact"/>
              <w:jc w:val="left"/>
            </w:pPr>
            <w:r>
              <w:t xml:space="preserve">25,500.00</w:t>
            </w:r>
          </w:p>
        </w:tc>
      </w:tr>
      <w:tr>
        <w:tc>
          <w:tcPr/>
          <w:p>
            <w:pPr>
              <w:pStyle w:val="Compact"/>
              <w:jc w:val="left"/>
            </w:pPr>
            <w:r>
              <w:t xml:space="preserve">08</w:t>
            </w:r>
          </w:p>
        </w:tc>
        <w:tc>
          <w:tcPr/>
          <w:p>
            <w:pPr>
              <w:pStyle w:val="Compact"/>
              <w:jc w:val="left"/>
            </w:pPr>
            <w:r>
              <w:t xml:space="preserve">Annual Maintenance and Calibration Contract for ICP-MS and HPLC (3-year term, on-site service in Baghdad)</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Consumable Reagents and Standards (certified reference materials, HPLC-grade solvents, argon gas cylinders), 12-month supply</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10</w:t>
            </w:r>
          </w:p>
        </w:tc>
        <w:tc>
          <w:tcPr/>
          <w:p>
            <w:pPr>
              <w:pStyle w:val="Compact"/>
              <w:jc w:val="left"/>
            </w:pPr>
            <w:r>
              <w:t xml:space="preserve">Custom Laboratory Furniture: Anti-vibration optical table (2m x 1m), chemical fume hood (1.5m), and stainless-steel bench</w:t>
            </w:r>
          </w:p>
        </w:tc>
        <w:tc>
          <w:tcPr/>
          <w:p>
            <w:pPr>
              <w:pStyle w:val="Compact"/>
              <w:jc w:val="left"/>
            </w:pPr>
            <w:r>
              <w:t xml:space="preserve">1</w:t>
            </w:r>
          </w:p>
        </w:tc>
        <w:tc>
          <w:tcPr/>
          <w:p>
            <w:pPr>
              <w:pStyle w:val="Compact"/>
              <w:jc w:val="left"/>
            </w:pPr>
            <w:r>
              <w:t xml:space="preserve">14,300.00</w:t>
            </w:r>
          </w:p>
        </w:tc>
        <w:tc>
          <w:tcPr/>
          <w:p>
            <w:pPr>
              <w:pStyle w:val="Compact"/>
              <w:jc w:val="left"/>
            </w:pPr>
            <w:r>
              <w:t xml:space="preserve">14,300.00</w:t>
            </w:r>
          </w:p>
        </w:tc>
      </w:tr>
      <w:tr>
        <w:tc>
          <w:tcPr>
            <w:gridSpan w:val="4"/>
          </w:tcPr>
          <w:p>
            <w:pPr>
              <w:pStyle w:val="Compact"/>
              <w:jc w:val="right"/>
            </w:pPr>
            <w:r>
              <w:t xml:space="preserve">Subtotal:</w:t>
            </w:r>
          </w:p>
        </w:tc>
        <w:tc>
          <w:tcPr/>
          <w:p>
            <w:pPr>
              <w:pStyle w:val="Compact"/>
              <w:jc w:val="left"/>
            </w:pPr>
            <w:r>
              <w:t xml:space="preserve">400,300.00</w:t>
            </w:r>
          </w:p>
        </w:tc>
      </w:tr>
      <w:tr>
        <w:tc>
          <w:tcPr>
            <w:gridSpan w:val="4"/>
          </w:tcPr>
          <w:p>
            <w:pPr>
              <w:pStyle w:val="Compact"/>
              <w:jc w:val="right"/>
            </w:pPr>
            <w:r>
              <w:t xml:space="preserve">VAT (5% — Iraq Standard Rate):</w:t>
            </w:r>
          </w:p>
        </w:tc>
        <w:tc>
          <w:tcPr/>
          <w:p>
            <w:pPr>
              <w:pStyle w:val="Compact"/>
              <w:jc w:val="left"/>
            </w:pPr>
            <w:r>
              <w:t xml:space="preserve">20,015.00</w:t>
            </w:r>
          </w:p>
        </w:tc>
      </w:tr>
      <w:tr>
        <w:tc>
          <w:tcPr>
            <w:gridSpan w:val="4"/>
          </w:tcPr>
          <w:p>
            <w:pPr>
              <w:pStyle w:val="Compact"/>
              <w:jc w:val="right"/>
            </w:pPr>
            <w:r>
              <w:t xml:space="preserve">Shipping &amp; Installation (DDP Baghdad):</w:t>
            </w:r>
          </w:p>
        </w:tc>
        <w:tc>
          <w:tcPr/>
          <w:p>
            <w:pPr>
              <w:pStyle w:val="Compact"/>
              <w:jc w:val="left"/>
            </w:pPr>
            <w:r>
              <w:t xml:space="preserve">12,500.00</w:t>
            </w:r>
          </w:p>
        </w:tc>
      </w:tr>
      <w:tr>
        <w:tc>
          <w:tcPr>
            <w:gridSpan w:val="4"/>
          </w:tcPr>
          <w:p>
            <w:pPr>
              <w:pStyle w:val="Compact"/>
              <w:jc w:val="right"/>
            </w:pPr>
            <w:r>
              <w:t xml:space="preserve">GRAND TOTAL (USD):</w:t>
            </w:r>
          </w:p>
        </w:tc>
        <w:tc>
          <w:tcPr/>
          <w:p>
            <w:pPr>
              <w:pStyle w:val="Compact"/>
              <w:jc w:val="left"/>
            </w:pPr>
            <w:r>
              <w:t xml:space="preserve">432,815.00</w:t>
            </w:r>
          </w:p>
        </w:tc>
      </w:tr>
      <w:tr>
        <w:tc>
          <w:tcPr>
            <w:gridSpan w:val="4"/>
          </w:tcPr>
          <w:p>
            <w:pPr>
              <w:pStyle w:val="Compact"/>
              <w:jc w:val="right"/>
            </w:pPr>
            <w:r>
              <w:t xml:space="preserve">GRAND TOTAL (IQD @ 1,320 IQD/USD):</w:t>
            </w:r>
          </w:p>
        </w:tc>
        <w:tc>
          <w:tcPr/>
          <w:p>
            <w:pPr>
              <w:pStyle w:val="Compact"/>
              <w:jc w:val="left"/>
            </w:pPr>
            <w:r>
              <w:t xml:space="preserve">571,315,800 IQD</w:t>
            </w:r>
          </w:p>
        </w:tc>
      </w:tr>
    </w:tbl>
    <w:p>
      <w:pPr>
        <w:pStyle w:val="BodyText"/>
      </w:pPr>
      <w:r>
        <w:t xml:space="preserve">3. DELIVERY AND INSTALLATION TERMS</w:t>
      </w:r>
    </w:p>
    <w:p>
      <w:pPr>
        <w:pStyle w:val="BodyText"/>
      </w:pPr>
      <w:r>
        <w:t xml:space="preserve">All items specified in this</w:t>
      </w:r>
      <w:r>
        <w:t xml:space="preserve"> </w:t>
      </w:r>
      <w:r>
        <w:t xml:space="preserve">Purchase Order</w:t>
      </w:r>
      <w:r>
        <w:t xml:space="preserve"> </w:t>
      </w:r>
      <w:r>
        <w:t xml:space="preserve">shall be delivered, installed, and commissioned at the University of Baghdad research facility in</w:t>
      </w:r>
      <w:r>
        <w:t xml:space="preserve"> </w:t>
      </w:r>
      <w:r>
        <w:t xml:space="preserve">Iraq Baghdad</w:t>
      </w:r>
      <w:r>
        <w:t xml:space="preserve"> </w:t>
      </w:r>
      <w:r>
        <w:t xml:space="preserve">no later than</w:t>
      </w:r>
      <w:r>
        <w:t xml:space="preserve"> </w:t>
      </w:r>
      <w:r>
        <w:rPr>
          <w:bCs/>
          <w:b/>
        </w:rPr>
        <w:t xml:space="preserve">30 August 2025</w:t>
      </w:r>
      <w:r>
        <w:t xml:space="preserve">. The seller is responsible for all logistics, customs clearance at the Baghdad International Airport or the land border crossing, and final on-site installation. The</w:t>
      </w:r>
      <w:r>
        <w:t xml:space="preserve"> </w:t>
      </w:r>
      <w:r>
        <w:t xml:space="preserve">Academic Researcher</w:t>
      </w:r>
      <w:r>
        <w:t xml:space="preserve"> </w:t>
      </w:r>
      <w:r>
        <w:t xml:space="preserve">and her designated laboratory manager will be present during installation to verify that all equipment meets the technical specifications outlined in Appendix A of this</w:t>
      </w:r>
      <w:r>
        <w:t xml:space="preserve"> </w:t>
      </w:r>
      <w:r>
        <w:t xml:space="preserve">Purchase Order</w:t>
      </w:r>
      <w:r>
        <w:t xml:space="preserve">. A formal acceptance certificate, signed by both the</w:t>
      </w:r>
      <w:r>
        <w:t xml:space="preserve"> </w:t>
      </w:r>
      <w:r>
        <w:t xml:space="preserve">Academic Researcher</w:t>
      </w:r>
      <w:r>
        <w:t xml:space="preserve"> </w:t>
      </w:r>
      <w:r>
        <w:t xml:space="preserve">and the seller's technical representative, must be executed within five (5) business days of installation completion. Failure to deliver within the stipulated window will result in a penalty of 0.5% of the total</w:t>
      </w:r>
      <w:r>
        <w:t xml:space="preserve"> </w:t>
      </w:r>
      <w:r>
        <w:t xml:space="preserve">Purchase Order</w:t>
      </w:r>
      <w:r>
        <w:t xml:space="preserve"> </w:t>
      </w:r>
      <w:r>
        <w:t xml:space="preserve">value per calendar day of delay, up to a maximum of 10%.</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in three installments via bank transfer to the seller's account at the Central Bank of Iraq, Baghdad branch:</w:t>
      </w:r>
    </w:p>
    <w:p>
      <w:pPr>
        <w:numPr>
          <w:ilvl w:val="0"/>
          <w:numId w:val="1001"/>
        </w:numPr>
        <w:pStyle w:val="Compact"/>
      </w:pPr>
      <w:r>
        <w:rPr>
          <w:bCs/>
          <w:b/>
        </w:rPr>
        <w:t xml:space="preserve">30% Advance Payment</w:t>
      </w:r>
      <w:r>
        <w:t xml:space="preserve"> </w:t>
      </w:r>
      <w:r>
        <w:t xml:space="preserve">(USD 129,844.50 / IQD 171,394,740) — due within ten (10) business days of the</w:t>
      </w:r>
      <w:r>
        <w:t xml:space="preserve"> </w:t>
      </w:r>
      <w:r>
        <w:t xml:space="preserve">Academic Researcher</w:t>
      </w:r>
      <w:r>
        <w:t xml:space="preserve">'s signature on this</w:t>
      </w:r>
      <w:r>
        <w:t xml:space="preserve"> </w:t>
      </w:r>
      <w:r>
        <w:t xml:space="preserve">Purchase Order</w:t>
      </w:r>
      <w:r>
        <w:t xml:space="preserve"> </w:t>
      </w:r>
      <w:r>
        <w:t xml:space="preserve">and the seller's countersignature.</w:t>
      </w:r>
    </w:p>
    <w:p>
      <w:pPr>
        <w:numPr>
          <w:ilvl w:val="0"/>
          <w:numId w:val="1001"/>
        </w:numPr>
        <w:pStyle w:val="Compact"/>
      </w:pPr>
      <w:r>
        <w:rPr>
          <w:bCs/>
          <w:b/>
        </w:rPr>
        <w:t xml:space="preserve">50% Upon Delivery and Installation</w:t>
      </w:r>
      <w:r>
        <w:t xml:space="preserve"> </w:t>
      </w:r>
      <w:r>
        <w:t xml:space="preserve">(USD 216,407.50 / IQD 285,657,900) — due within fifteen (15) business days of the signed acceptance certificate.</w:t>
      </w:r>
    </w:p>
    <w:p>
      <w:pPr>
        <w:numPr>
          <w:ilvl w:val="0"/>
          <w:numId w:val="1001"/>
        </w:numPr>
        <w:pStyle w:val="Compact"/>
      </w:pPr>
      <w:r>
        <w:rPr>
          <w:bCs/>
          <w:b/>
        </w:rPr>
        <w:t xml:space="preserve">20% Retention / Final Payment</w:t>
      </w:r>
      <w:r>
        <w:t xml:space="preserve"> </w:t>
      </w:r>
      <w:r>
        <w:t xml:space="preserve">(USD 86,563.00 / IQD 114,263,160) — due within thirty (30) days after the successful completion of the 90-day performance warranty period.</w:t>
      </w:r>
    </w:p>
    <w:p>
      <w:pPr>
        <w:pStyle w:val="FirstParagraph"/>
      </w:pPr>
      <w:r>
        <w:t xml:space="preserve">5. WARRANTIES, COMPLIANCE, AND ACADEMIC RESEARCH OBLIGATIONS</w:t>
      </w:r>
    </w:p>
    <w:p>
      <w:pPr>
        <w:pStyle w:val="BodyText"/>
      </w:pPr>
      <w:r>
        <w:t xml:space="preserve">The seller warrants that all equipment and materials supplied under this</w:t>
      </w:r>
      <w:r>
        <w:t xml:space="preserve"> </w:t>
      </w:r>
      <w:r>
        <w:t xml:space="preserve">Purchase Order</w:t>
      </w:r>
      <w:r>
        <w:t xml:space="preserve"> </w:t>
      </w:r>
      <w:r>
        <w:t xml:space="preserve">are new, unused, and conform to international ISO and IEC standards. The ICP-MS and HPLC systems carry a minimum two-year manufacturer's warranty covering parts and labor, with on-site service available within</w:t>
      </w:r>
      <w:r>
        <w:t xml:space="preserve"> </w:t>
      </w:r>
      <w:r>
        <w:t xml:space="preserve">Iraq Baghdad</w:t>
      </w:r>
      <w:r>
        <w:t xml:space="preserve"> </w:t>
      </w:r>
      <w:r>
        <w:t xml:space="preserve">within forty-eight (48) hours of a service request. The</w:t>
      </w:r>
      <w:r>
        <w:t xml:space="preserve"> </w:t>
      </w:r>
      <w:r>
        <w:t xml:space="preserve">Academic Researcher</w:t>
      </w:r>
      <w:r>
        <w:t xml:space="preserve"> </w:t>
      </w:r>
      <w:r>
        <w:t xml:space="preserve">confirms that the procurement of these items is fully funded under University of Baghdad Research Grant UOB-RES-2025-0317 and complies with the Iraqi Ministry of Higher Education and Scientific Research procurement guidelines. All data generated using the procured equipment shall remain the intellectual property of the</w:t>
      </w:r>
      <w:r>
        <w:t xml:space="preserve"> </w:t>
      </w:r>
      <w:r>
        <w:t xml:space="preserve">Academic Researcher</w:t>
      </w:r>
      <w:r>
        <w:t xml:space="preserve"> </w:t>
      </w:r>
      <w:r>
        <w:t xml:space="preserve">and the University of Baghdad. The seller agrees not to access, replicate, or disclose any research data stored on the supplied computational workstations.</w:t>
      </w:r>
    </w:p>
    <w:p>
      <w:pPr>
        <w:pStyle w:val="BodyText"/>
      </w:pPr>
      <w:r>
        <w:rPr>
          <w:bCs/>
          <w:b/>
        </w:rPr>
        <w:t xml:space="preserve">NOTE:</w:t>
      </w:r>
      <w:r>
        <w:t xml:space="preserve"> </w:t>
      </w:r>
      <w:r>
        <w:t xml:space="preserve">This</w:t>
      </w:r>
      <w:r>
        <w:t xml:space="preserve"> </w:t>
      </w:r>
      <w:r>
        <w:t xml:space="preserve">Purchase Order</w:t>
      </w:r>
      <w:r>
        <w:t xml:space="preserve"> </w:t>
      </w:r>
      <w:r>
        <w:t xml:space="preserve">is subject to the commercial laws of the Republic of Iraq (Law No. 11 of 1997, as amended) and the internal procurement regulations of the University of Baghdad. Any disputes arising from this</w:t>
      </w:r>
      <w:r>
        <w:t xml:space="preserve"> </w:t>
      </w:r>
      <w:r>
        <w:t xml:space="preserve">Purchase Order</w:t>
      </w:r>
      <w:r>
        <w:t xml:space="preserve"> </w:t>
      </w:r>
      <w:r>
        <w:t xml:space="preserve">shall be resolved through arbitration in Baghdad, Iraq, in accordance with the rules of the Iraqi Arbitration Center. The governing language of this document is English; in the event of any translation discrepancy, the English text shall prevail.</w:t>
      </w:r>
    </w:p>
    <w:p>
      <w:pPr>
        <w:pStyle w:val="BodyText"/>
      </w:pPr>
      <w:r>
        <w:t xml:space="preserve">6. AUTHORIZED SIGNATURES</w:t>
      </w:r>
    </w:p>
    <w:p>
      <w:pPr>
        <w:pStyle w:val="BodyText"/>
      </w:pPr>
      <w:r>
        <w:rPr>
          <w:bCs/>
          <w:b/>
        </w:rPr>
        <w:t xml:space="preserve">Dr. Layla H. Al-Rashid</w:t>
      </w:r>
      <w:r>
        <w:br/>
      </w:r>
      <w:r>
        <w:t xml:space="preserve">Academic Researcher / Principal Investigator</w:t>
      </w:r>
      <w:r>
        <w:br/>
      </w:r>
      <w:r>
        <w:t xml:space="preserve">University of Baghdad, College of Science</w:t>
      </w:r>
      <w:r>
        <w:br/>
      </w:r>
      <w:r>
        <w:t xml:space="preserve">Date: _______________</w:t>
      </w:r>
    </w:p>
    <w:p>
      <w:pPr>
        <w:pStyle w:val="BodyText"/>
      </w:pPr>
      <w:r>
        <w:rPr>
          <w:bCs/>
          <w:b/>
        </w:rPr>
        <w:t xml:space="preserve">Prof. Dr. Ahmed M. Al-Khafaji</w:t>
      </w:r>
      <w:r>
        <w:br/>
      </w:r>
      <w:r>
        <w:t xml:space="preserve">Dean, College of Science</w:t>
      </w:r>
      <w:r>
        <w:br/>
      </w:r>
      <w:r>
        <w:t xml:space="preserve">University of Baghdad</w:t>
      </w:r>
      <w:r>
        <w:br/>
      </w:r>
      <w:r>
        <w:t xml:space="preserve">Date: _______________</w:t>
      </w:r>
    </w:p>
    <w:p>
      <w:pPr>
        <w:pStyle w:val="BodyText"/>
      </w:pPr>
      <w:r>
        <w:rPr>
          <w:bCs/>
          <w:b/>
        </w:rPr>
        <w:t xml:space="preserve">Mr. Karim T. Al-Jabiri</w:t>
      </w:r>
      <w:r>
        <w:br/>
      </w:r>
      <w:r>
        <w:t xml:space="preserve">Authorized Representative</w:t>
      </w:r>
      <w:r>
        <w:br/>
      </w:r>
      <w:r>
        <w:t xml:space="preserve">Mesopotamia Scientific Instruments Co.</w:t>
      </w:r>
      <w:r>
        <w:br/>
      </w:r>
      <w:r>
        <w:t xml:space="preserve">Date: _______________</w:t>
      </w:r>
    </w:p>
    <w:p>
      <w:pPr>
        <w:pStyle w:val="BodyText"/>
      </w:pPr>
      <w:r>
        <w:t xml:space="preserve">This Purchase Order (PO-IRQ-BGD-2025-04782) was prepared for the use of an Academic Researcher operating in Iraq Baghdad. It is valid for a period of ninety (90) days from the date of issue. Unauthorized reproduction or distribution of this document is prohibited. For inquiries, contact the University of Baghdad Research Procurement Office, Al-Jadriya, Baghdad, Iraq. © 2025 University of Baghdad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Iraq Baghdad</dc:title>
  <dc:creator/>
  <dc:language>en</dc:language>
  <cp:keywords/>
  <dcterms:created xsi:type="dcterms:W3CDTF">2026-10-10T04:12:42Z</dcterms:created>
  <dcterms:modified xsi:type="dcterms:W3CDTF">2026-10-10T04:12:42Z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