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Academic</w:t>
      </w:r>
      <w:r>
        <w:t xml:space="preserve"> </w:t>
      </w:r>
      <w:r>
        <w:t xml:space="preserve">Researcher</w:t>
      </w:r>
      <w:r>
        <w:t xml:space="preserve"> </w:t>
      </w:r>
      <w:r>
        <w:t xml:space="preserve">-</w:t>
      </w:r>
      <w:r>
        <w:t xml:space="preserve"> </w:t>
      </w:r>
      <w:r>
        <w:t xml:space="preserve">Japan</w:t>
      </w:r>
      <w:r>
        <w:t xml:space="preserve"> </w:t>
      </w:r>
      <w:r>
        <w:t xml:space="preserve">Kyoto</w:t>
      </w:r>
    </w:p>
    <w:bookmarkStart w:id="27" w:name="purchase-order"/>
    <w:p>
      <w:pPr>
        <w:pStyle w:val="Heading1"/>
      </w:pPr>
      <w:r>
        <w:t xml:space="preserve">PURCHASE ORDER</w:t>
      </w:r>
    </w:p>
    <w:p>
      <w:pPr>
        <w:pStyle w:val="FirstParagraph"/>
      </w:pPr>
      <w:r>
        <w:rPr>
          <w:bCs/>
          <w:b/>
        </w:rPr>
        <w:t xml:space="preserve">Purchase Order No.:</w:t>
      </w:r>
      <w:r>
        <w:t xml:space="preserve"> </w:t>
      </w:r>
      <w:r>
        <w:t xml:space="preserve">PO-KYO-2025-04871</w:t>
      </w:r>
    </w:p>
    <w:p>
      <w:pPr>
        <w:pStyle w:val="BodyText"/>
      </w:pPr>
      <w:r>
        <w:rPr>
          <w:bCs/>
          <w:b/>
        </w:rPr>
        <w:t xml:space="preserve">Date of Issue:</w:t>
      </w:r>
      <w:r>
        <w:t xml:space="preserve"> </w:t>
      </w:r>
      <w:r>
        <w:t xml:space="preserve">14 June 2025</w:t>
      </w:r>
    </w:p>
    <w:p>
      <w:pPr>
        <w:pStyle w:val="BodyText"/>
      </w:pPr>
      <w:r>
        <w:rPr>
          <w:bCs/>
          <w:b/>
        </w:rPr>
        <w:t xml:space="preserve">Required Delivery Date:</w:t>
      </w:r>
      <w:r>
        <w:t xml:space="preserve"> </w:t>
      </w:r>
      <w:r>
        <w:t xml:space="preserve">05 July 2025</w:t>
      </w:r>
    </w:p>
    <w:p>
      <w:pPr>
        <w:pStyle w:val="BodyText"/>
      </w:pPr>
      <w:r>
        <w:rPr>
          <w:bCs/>
          <w:b/>
        </w:rPr>
        <w:t xml:space="preserve">Payment Terms:</w:t>
      </w:r>
      <w:r>
        <w:t xml:space="preserve"> </w:t>
      </w:r>
      <w:r>
        <w:t xml:space="preserve">Net 30 Days from Invoice</w:t>
      </w:r>
    </w:p>
    <w:p>
      <w:pPr>
        <w:pStyle w:val="BodyText"/>
      </w:pPr>
      <w:r>
        <w:rPr>
          <w:bCs/>
          <w:b/>
        </w:rPr>
        <w:t xml:space="preserve">Currency:</w:t>
      </w:r>
      <w:r>
        <w:t xml:space="preserve"> </w:t>
      </w:r>
      <w:r>
        <w:t xml:space="preserve">Japanese Yen (JPY)</w:t>
      </w:r>
    </w:p>
    <w:p>
      <w:pPr>
        <w:pStyle w:val="BodyText"/>
      </w:pPr>
      <w:r>
        <w:t xml:space="preserve">PURCHASE ORDER</w:t>
      </w:r>
    </w:p>
    <w:p>
      <w:pPr>
        <w:pStyle w:val="BodyText"/>
      </w:pPr>
      <w:r>
        <w:rPr>
          <w:bCs/>
          <w:b/>
        </w:rPr>
        <w:t xml:space="preserve">Classification:</w:t>
      </w:r>
      <w:r>
        <w:t xml:space="preserve"> </w:t>
      </w:r>
      <w:r>
        <w:t xml:space="preserve">Academic Research Procurement</w:t>
      </w:r>
    </w:p>
    <w:p>
      <w:pPr>
        <w:pStyle w:val="BodyText"/>
      </w:pPr>
      <w:r>
        <w:rPr>
          <w:bCs/>
          <w:b/>
        </w:rPr>
        <w:t xml:space="preserve">Region:</w:t>
      </w:r>
      <w:r>
        <w:t xml:space="preserve"> </w:t>
      </w:r>
      <w:r>
        <w:t xml:space="preserve">Japan Kyoto Prefecture</w:t>
      </w:r>
    </w:p>
    <w:p>
      <w:pPr>
        <w:pStyle w:val="BodyText"/>
      </w:pPr>
      <w:r>
        <w:rPr>
          <w:bCs/>
          <w:b/>
        </w:rPr>
        <w:t xml:space="preserve">Priority:</w:t>
      </w:r>
      <w:r>
        <w:t xml:space="preserve"> </w:t>
      </w:r>
      <w:r>
        <w:t xml:space="preserve">Standard</w:t>
      </w:r>
    </w:p>
    <w:bookmarkStart w:id="20" w:name="buyer-information-academic-researcher"/>
    <w:p>
      <w:pPr>
        <w:pStyle w:val="Heading2"/>
      </w:pPr>
      <w:r>
        <w:t xml:space="preserve">1. Buyer Information (Academic Researcher)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Name</w:t>
            </w:r>
          </w:p>
        </w:tc>
        <w:tc>
          <w:tcPr/>
          <w:p>
            <w:pPr>
              <w:pStyle w:val="Compact"/>
              <w:jc w:val="left"/>
            </w:pPr>
            <w:r>
              <w:t xml:space="preserve">Dr. Haruki Tanabe, PhD</w:t>
            </w:r>
          </w:p>
        </w:tc>
      </w:tr>
      <w:tr>
        <w:tc>
          <w:tcPr/>
          <w:p>
            <w:pPr>
              <w:pStyle w:val="Compact"/>
              <w:jc w:val="left"/>
            </w:pPr>
            <w:r>
              <w:t xml:space="preserve">Title</w:t>
            </w:r>
          </w:p>
        </w:tc>
        <w:tc>
          <w:tcPr/>
          <w:p>
            <w:pPr>
              <w:pStyle w:val="Compact"/>
              <w:jc w:val="left"/>
            </w:pPr>
            <w:r>
              <w:t xml:space="preserve">Senior Academic Researcher, Department of Molecular Biology</w:t>
            </w:r>
          </w:p>
        </w:tc>
      </w:tr>
      <w:tr>
        <w:tc>
          <w:tcPr/>
          <w:p>
            <w:pPr>
              <w:pStyle w:val="Compact"/>
              <w:jc w:val="left"/>
            </w:pPr>
            <w:r>
              <w:t xml:space="preserve">Institution</w:t>
            </w:r>
          </w:p>
        </w:tc>
        <w:tc>
          <w:tcPr/>
          <w:p>
            <w:pPr>
              <w:pStyle w:val="Compact"/>
              <w:jc w:val="left"/>
            </w:pPr>
            <w:r>
              <w:t xml:space="preserve">Kyoto University Research Institute, Japan Kyoto</w:t>
            </w:r>
          </w:p>
        </w:tc>
      </w:tr>
      <w:tr>
        <w:tc>
          <w:tcPr/>
          <w:p>
            <w:pPr>
              <w:pStyle w:val="Compact"/>
              <w:jc w:val="left"/>
            </w:pPr>
            <w:r>
              <w:t xml:space="preserve">Address</w:t>
            </w:r>
          </w:p>
        </w:tc>
        <w:tc>
          <w:tcPr/>
          <w:p>
            <w:pPr>
              <w:pStyle w:val="Compact"/>
              <w:jc w:val="left"/>
            </w:pPr>
            <w:r>
              <w:t xml:space="preserve">Yoshida-honmachi 46, Sakyo-ku, Japan Kyoto 606-8502, Japan</w:t>
            </w:r>
          </w:p>
        </w:tc>
      </w:tr>
      <w:tr>
        <w:tc>
          <w:tcPr/>
          <w:p>
            <w:pPr>
              <w:pStyle w:val="Compact"/>
              <w:jc w:val="left"/>
            </w:pPr>
            <w:r>
              <w:t xml:space="preserve">Contact Email</w:t>
            </w:r>
          </w:p>
        </w:tc>
        <w:tc>
          <w:tcPr/>
          <w:p>
            <w:pPr>
              <w:pStyle w:val="Compact"/>
              <w:jc w:val="left"/>
            </w:pPr>
            <w:r>
              <w:t xml:space="preserve">h.tanabe@kyoto-research.ac.jp</w:t>
            </w:r>
          </w:p>
        </w:tc>
      </w:tr>
      <w:tr>
        <w:tc>
          <w:tcPr/>
          <w:p>
            <w:pPr>
              <w:pStyle w:val="Compact"/>
              <w:jc w:val="left"/>
            </w:pPr>
            <w:r>
              <w:t xml:space="preserve">Phone</w:t>
            </w:r>
          </w:p>
        </w:tc>
        <w:tc>
          <w:tcPr/>
          <w:p>
            <w:pPr>
              <w:pStyle w:val="Compact"/>
              <w:jc w:val="left"/>
            </w:pPr>
            <w:r>
              <w:t xml:space="preserve">+81-75-881-5123</w:t>
            </w:r>
          </w:p>
        </w:tc>
      </w:tr>
      <w:tr>
        <w:tc>
          <w:tcPr/>
          <w:p>
            <w:pPr>
              <w:pStyle w:val="Compact"/>
              <w:jc w:val="left"/>
            </w:pPr>
            <w:r>
              <w:t xml:space="preserve">Grant Reference</w:t>
            </w:r>
          </w:p>
        </w:tc>
        <w:tc>
          <w:tcPr/>
          <w:p>
            <w:pPr>
              <w:pStyle w:val="Compact"/>
              <w:jc w:val="left"/>
            </w:pPr>
            <w:r>
              <w:t xml:space="preserve">JSPS KAKENHI No. 24H01234 – "Neurodegenerative Pathways in Aging Populations"</w:t>
            </w:r>
          </w:p>
        </w:tc>
      </w:tr>
    </w:tbl>
    <w:bookmarkEnd w:id="20"/>
    <w:bookmarkStart w:id="21" w:name="vendor-supplier-information"/>
    <w:p>
      <w:pPr>
        <w:pStyle w:val="Heading2"/>
      </w:pPr>
      <w:r>
        <w:t xml:space="preserve">2. Vendor / Supplier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Kyoto Scientific Instruments Co., Ltd.</w:t>
            </w:r>
          </w:p>
        </w:tc>
      </w:tr>
      <w:tr>
        <w:tc>
          <w:tcPr/>
          <w:p>
            <w:pPr>
              <w:pStyle w:val="Compact"/>
              <w:jc w:val="left"/>
            </w:pPr>
            <w:r>
              <w:t xml:space="preserve">Address</w:t>
            </w:r>
          </w:p>
        </w:tc>
        <w:tc>
          <w:tcPr/>
          <w:p>
            <w:pPr>
              <w:pStyle w:val="Compact"/>
              <w:jc w:val="left"/>
            </w:pPr>
            <w:r>
              <w:t xml:space="preserve">2-15-08 Kamigyo-ku, Japan Kyoto 602-8031, Japan</w:t>
            </w:r>
          </w:p>
        </w:tc>
      </w:tr>
      <w:tr>
        <w:tc>
          <w:tcPr/>
          <w:p>
            <w:pPr>
              <w:pStyle w:val="Compact"/>
              <w:jc w:val="left"/>
            </w:pPr>
            <w:r>
              <w:t xml:space="preserve">Contact Person</w:t>
            </w:r>
          </w:p>
        </w:tc>
        <w:tc>
          <w:tcPr/>
          <w:p>
            <w:pPr>
              <w:pStyle w:val="Compact"/>
              <w:jc w:val="left"/>
            </w:pPr>
            <w:r>
              <w:t xml:space="preserve">Mrs. Yuki Sato, Procurement Manager</w:t>
            </w:r>
          </w:p>
        </w:tc>
      </w:tr>
      <w:tr>
        <w:tc>
          <w:tcPr/>
          <w:p>
            <w:pPr>
              <w:pStyle w:val="Compact"/>
              <w:jc w:val="left"/>
            </w:pPr>
            <w:r>
              <w:t xml:space="preserve">Phone</w:t>
            </w:r>
          </w:p>
        </w:tc>
        <w:tc>
          <w:tcPr/>
          <w:p>
            <w:pPr>
              <w:pStyle w:val="Compact"/>
              <w:jc w:val="left"/>
            </w:pPr>
            <w:r>
              <w:t xml:space="preserve">+81-75-221-4455</w:t>
            </w:r>
          </w:p>
        </w:tc>
      </w:tr>
      <w:tr>
        <w:tc>
          <w:tcPr/>
          <w:p>
            <w:pPr>
              <w:pStyle w:val="Compact"/>
              <w:jc w:val="left"/>
            </w:pPr>
            <w:r>
              <w:t xml:space="preserve">Email</w:t>
            </w:r>
          </w:p>
        </w:tc>
        <w:tc>
          <w:tcPr/>
          <w:p>
            <w:pPr>
              <w:pStyle w:val="Compact"/>
              <w:jc w:val="left"/>
            </w:pPr>
            <w:r>
              <w:t xml:space="preserve">orders@kyoto-sci-instruments.jp</w:t>
            </w:r>
          </w:p>
        </w:tc>
      </w:tr>
      <w:tr>
        <w:tc>
          <w:tcPr/>
          <w:p>
            <w:pPr>
              <w:pStyle w:val="Compact"/>
              <w:jc w:val="left"/>
            </w:pPr>
            <w:r>
              <w:t xml:space="preserve">Tax ID (Touhyou番号)</w:t>
            </w:r>
          </w:p>
        </w:tc>
        <w:tc>
          <w:tcPr/>
          <w:p>
            <w:pPr>
              <w:pStyle w:val="Compact"/>
              <w:jc w:val="left"/>
            </w:pPr>
            <w:r>
              <w:t xml:space="preserve">60-1234-5678901</w:t>
            </w:r>
          </w:p>
        </w:tc>
      </w:tr>
    </w:tbl>
    <w:bookmarkEnd w:id="21"/>
    <w:bookmarkStart w:id="22" w:name="purchase-order-line-items"/>
    <w:p>
      <w:pPr>
        <w:pStyle w:val="Heading2"/>
      </w:pPr>
      <w:r>
        <w:t xml:space="preserve">3. Purchase Order Line Items</w:t>
      </w:r>
    </w:p>
    <w:p>
      <w:pPr>
        <w:pStyle w:val="FirstParagraph"/>
      </w:pPr>
      <w:r>
        <w:t xml:space="preserve">This Purchase Order is issued by the undersigned Academic Researcher in Japan Kyoto for the procurement of specialized laboratory equipment, reagents, and consumables required for ongoing peer-reviewed research under the JSPS-funded project. All items listed below are to be delivered to the Kyoto University Research Institute laboratory facility in Japan Kyoto unless otherwise specified.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(JPY)</w:t>
            </w:r>
          </w:p>
        </w:tc>
        <w:tc>
          <w:tcPr/>
          <w:p>
            <w:pPr>
              <w:pStyle w:val="Compact"/>
              <w:jc w:val="left"/>
            </w:pPr>
            <w:r>
              <w:t xml:space="preserve">Line Total (JPY)</w:t>
            </w:r>
          </w:p>
        </w:tc>
      </w:tr>
      <w:tr>
        <w:tc>
          <w:tcPr/>
          <w:p>
            <w:pPr>
              <w:pStyle w:val="Compact"/>
              <w:jc w:val="left"/>
            </w:pPr>
            <w:r>
              <w:t xml:space="preserve">1</w:t>
            </w:r>
          </w:p>
        </w:tc>
        <w:tc>
          <w:tcPr/>
          <w:p>
            <w:pPr>
              <w:pStyle w:val="Compact"/>
              <w:jc w:val="left"/>
            </w:pPr>
            <w:r>
              <w:t xml:space="preserve">Confocal Laser Scanning Microscope, 63x Oil Immersion Objective, with Fluorescence Filter Set (for cellular imaging studies)</w:t>
            </w:r>
          </w:p>
        </w:tc>
        <w:tc>
          <w:tcPr/>
          <w:p>
            <w:pPr>
              <w:pStyle w:val="Compact"/>
              <w:jc w:val="left"/>
            </w:pPr>
            <w:r>
              <w:t xml:space="preserve">1</w:t>
            </w:r>
          </w:p>
        </w:tc>
        <w:tc>
          <w:tcPr/>
          <w:p>
            <w:pPr>
              <w:pStyle w:val="Compact"/>
              <w:jc w:val="left"/>
            </w:pPr>
            <w:r>
              <w:t xml:space="preserve">Unit</w:t>
            </w:r>
          </w:p>
        </w:tc>
        <w:tc>
          <w:tcPr/>
          <w:p>
            <w:pPr>
              <w:pStyle w:val="Compact"/>
              <w:jc w:val="left"/>
            </w:pPr>
            <w:r>
              <w:t xml:space="preserve">4,850,000</w:t>
            </w:r>
          </w:p>
        </w:tc>
        <w:tc>
          <w:tcPr/>
          <w:p>
            <w:pPr>
              <w:pStyle w:val="Compact"/>
              <w:jc w:val="left"/>
            </w:pPr>
            <w:r>
              <w:t xml:space="preserve">4,850,000</w:t>
            </w:r>
          </w:p>
        </w:tc>
      </w:tr>
      <w:tr>
        <w:tc>
          <w:tcPr/>
          <w:p>
            <w:pPr>
              <w:pStyle w:val="Compact"/>
              <w:jc w:val="left"/>
            </w:pPr>
            <w:r>
              <w:t xml:space="preserve">2</w:t>
            </w:r>
          </w:p>
        </w:tc>
        <w:tc>
          <w:tcPr/>
          <w:p>
            <w:pPr>
              <w:pStyle w:val="Compact"/>
              <w:jc w:val="left"/>
            </w:pPr>
            <w:r>
              <w:t xml:space="preserve">Real-Time PCR Thermal Cycler, 96-Well, with 4-Channel Detection System</w:t>
            </w:r>
          </w:p>
        </w:tc>
        <w:tc>
          <w:tcPr/>
          <w:p>
            <w:pPr>
              <w:pStyle w:val="Compact"/>
              <w:jc w:val="left"/>
            </w:pPr>
            <w:r>
              <w:t xml:space="preserve">2</w:t>
            </w:r>
          </w:p>
        </w:tc>
        <w:tc>
          <w:tcPr/>
          <w:p>
            <w:pPr>
              <w:pStyle w:val="Compact"/>
              <w:jc w:val="left"/>
            </w:pPr>
            <w:r>
              <w:t xml:space="preserve">Unit</w:t>
            </w:r>
          </w:p>
        </w:tc>
        <w:tc>
          <w:tcPr/>
          <w:p>
            <w:pPr>
              <w:pStyle w:val="Compact"/>
              <w:jc w:val="left"/>
            </w:pPr>
            <w:r>
              <w:t xml:space="preserve">1,280,000</w:t>
            </w:r>
          </w:p>
        </w:tc>
        <w:tc>
          <w:tcPr/>
          <w:p>
            <w:pPr>
              <w:pStyle w:val="Compact"/>
              <w:jc w:val="left"/>
            </w:pPr>
            <w:r>
              <w:t xml:space="preserve">2,560,000</w:t>
            </w:r>
          </w:p>
        </w:tc>
      </w:tr>
      <w:tr>
        <w:tc>
          <w:tcPr/>
          <w:p>
            <w:pPr>
              <w:pStyle w:val="Compact"/>
              <w:jc w:val="left"/>
            </w:pPr>
            <w:r>
              <w:t xml:space="preserve">3</w:t>
            </w:r>
          </w:p>
        </w:tc>
        <w:tc>
          <w:tcPr/>
          <w:p>
            <w:pPr>
              <w:pStyle w:val="Compact"/>
              <w:jc w:val="left"/>
            </w:pPr>
            <w:r>
              <w:t xml:space="preserve">High-Performance Liquid Chromatography (HPLC) Column, C18, 250mm x 4.6mm, 5μm</w:t>
            </w:r>
          </w:p>
        </w:tc>
        <w:tc>
          <w:tcPr/>
          <w:p>
            <w:pPr>
              <w:pStyle w:val="Compact"/>
              <w:jc w:val="left"/>
            </w:pPr>
            <w:r>
              <w:t xml:space="preserve">10</w:t>
            </w:r>
          </w:p>
        </w:tc>
        <w:tc>
          <w:tcPr/>
          <w:p>
            <w:pPr>
              <w:pStyle w:val="Compact"/>
              <w:jc w:val="left"/>
            </w:pPr>
            <w:r>
              <w:t xml:space="preserve">Unit</w:t>
            </w:r>
          </w:p>
        </w:tc>
        <w:tc>
          <w:tcPr/>
          <w:p>
            <w:pPr>
              <w:pStyle w:val="Compact"/>
              <w:jc w:val="left"/>
            </w:pPr>
            <w:r>
              <w:t xml:space="preserve">42,500</w:t>
            </w:r>
          </w:p>
        </w:tc>
        <w:tc>
          <w:tcPr/>
          <w:p>
            <w:pPr>
              <w:pStyle w:val="Compact"/>
              <w:jc w:val="left"/>
            </w:pPr>
            <w:r>
              <w:t xml:space="preserve">425,000</w:t>
            </w:r>
          </w:p>
        </w:tc>
      </w:tr>
      <w:tr>
        <w:tc>
          <w:tcPr/>
          <w:p>
            <w:pPr>
              <w:pStyle w:val="Compact"/>
              <w:jc w:val="left"/>
            </w:pPr>
            <w:r>
              <w:t xml:space="preserve">4</w:t>
            </w:r>
          </w:p>
        </w:tc>
        <w:tc>
          <w:tcPr/>
          <w:p>
            <w:pPr>
              <w:pStyle w:val="Compact"/>
              <w:jc w:val="left"/>
            </w:pPr>
            <w:r>
              <w:t xml:space="preserve">Cell Culture Media, DMEM High Glucose, 500mL (Lot-certified for Academic Researcher use)</w:t>
            </w:r>
          </w:p>
        </w:tc>
        <w:tc>
          <w:tcPr/>
          <w:p>
            <w:pPr>
              <w:pStyle w:val="Compact"/>
              <w:jc w:val="left"/>
            </w:pPr>
            <w:r>
              <w:t xml:space="preserve">24</w:t>
            </w:r>
          </w:p>
        </w:tc>
        <w:tc>
          <w:tcPr/>
          <w:p>
            <w:pPr>
              <w:pStyle w:val="Compact"/>
              <w:jc w:val="left"/>
            </w:pPr>
            <w:r>
              <w:t xml:space="preserve">Bottle</w:t>
            </w:r>
          </w:p>
        </w:tc>
        <w:tc>
          <w:tcPr/>
          <w:p>
            <w:pPr>
              <w:pStyle w:val="Compact"/>
              <w:jc w:val="left"/>
            </w:pPr>
            <w:r>
              <w:t xml:space="preserve">8,900</w:t>
            </w:r>
          </w:p>
        </w:tc>
        <w:tc>
          <w:tcPr/>
          <w:p>
            <w:pPr>
              <w:pStyle w:val="Compact"/>
              <w:jc w:val="left"/>
            </w:pPr>
            <w:r>
              <w:t xml:space="preserve">213,600</w:t>
            </w:r>
          </w:p>
        </w:tc>
      </w:tr>
      <w:tr>
        <w:tc>
          <w:tcPr/>
          <w:p>
            <w:pPr>
              <w:pStyle w:val="Compact"/>
              <w:jc w:val="left"/>
            </w:pPr>
            <w:r>
              <w:t xml:space="preserve">5</w:t>
            </w:r>
          </w:p>
        </w:tc>
        <w:tc>
          <w:tcPr/>
          <w:p>
            <w:pPr>
              <w:pStyle w:val="Compact"/>
              <w:jc w:val="left"/>
            </w:pPr>
            <w:r>
              <w:t xml:space="preserve">Anti-Neuronal Antibody Kit, Mouse Monoclonal, 100μg (for neurodegenerative pathway analysis)</w:t>
            </w:r>
          </w:p>
        </w:tc>
        <w:tc>
          <w:tcPr/>
          <w:p>
            <w:pPr>
              <w:pStyle w:val="Compact"/>
              <w:jc w:val="left"/>
            </w:pPr>
            <w:r>
              <w:t xml:space="preserve">12</w:t>
            </w:r>
          </w:p>
        </w:tc>
        <w:tc>
          <w:tcPr/>
          <w:p>
            <w:pPr>
              <w:pStyle w:val="Compact"/>
              <w:jc w:val="left"/>
            </w:pPr>
            <w:r>
              <w:t xml:space="preserve">Vial</w:t>
            </w:r>
          </w:p>
        </w:tc>
        <w:tc>
          <w:tcPr/>
          <w:p>
            <w:pPr>
              <w:pStyle w:val="Compact"/>
              <w:jc w:val="left"/>
            </w:pPr>
            <w:r>
              <w:t xml:space="preserve">36,000</w:t>
            </w:r>
          </w:p>
        </w:tc>
        <w:tc>
          <w:tcPr/>
          <w:p>
            <w:pPr>
              <w:pStyle w:val="Compact"/>
              <w:jc w:val="left"/>
            </w:pPr>
            <w:r>
              <w:t xml:space="preserve">432,000</w:t>
            </w:r>
          </w:p>
        </w:tc>
      </w:tr>
      <w:tr>
        <w:tc>
          <w:tcPr/>
          <w:p>
            <w:pPr>
              <w:pStyle w:val="Compact"/>
              <w:jc w:val="left"/>
            </w:pPr>
            <w:r>
              <w:t xml:space="preserve">6</w:t>
            </w:r>
          </w:p>
        </w:tc>
        <w:tc>
          <w:tcPr/>
          <w:p>
            <w:pPr>
              <w:pStyle w:val="Compact"/>
              <w:jc w:val="left"/>
            </w:pPr>
            <w:r>
              <w:t xml:space="preserve">Centrifuge Tubes, 15mL Conical, Sterile, Autoclavable (Box of 500)</w:t>
            </w:r>
          </w:p>
        </w:tc>
        <w:tc>
          <w:tcPr/>
          <w:p>
            <w:pPr>
              <w:pStyle w:val="Compact"/>
              <w:jc w:val="left"/>
            </w:pPr>
            <w:r>
              <w:t xml:space="preserve">8</w:t>
            </w:r>
          </w:p>
        </w:tc>
        <w:tc>
          <w:tcPr/>
          <w:p>
            <w:pPr>
              <w:pStyle w:val="Compact"/>
              <w:jc w:val="left"/>
            </w:pPr>
            <w:r>
              <w:t xml:space="preserve">Box</w:t>
            </w:r>
          </w:p>
        </w:tc>
        <w:tc>
          <w:tcPr/>
          <w:p>
            <w:pPr>
              <w:pStyle w:val="Compact"/>
              <w:jc w:val="left"/>
            </w:pPr>
            <w:r>
              <w:t xml:space="preserve">12,400</w:t>
            </w:r>
          </w:p>
        </w:tc>
        <w:tc>
          <w:tcPr/>
          <w:p>
            <w:pPr>
              <w:pStyle w:val="Compact"/>
              <w:jc w:val="left"/>
            </w:pPr>
            <w:r>
              <w:t xml:space="preserve">99,200</w:t>
            </w:r>
          </w:p>
        </w:tc>
      </w:tr>
      <w:tr>
        <w:tc>
          <w:tcPr/>
          <w:p>
            <w:pPr>
              <w:pStyle w:val="Compact"/>
              <w:jc w:val="left"/>
            </w:pPr>
            <w:r>
              <w:t xml:space="preserve">7</w:t>
            </w:r>
          </w:p>
        </w:tc>
        <w:tc>
          <w:tcPr/>
          <w:p>
            <w:pPr>
              <w:pStyle w:val="Compact"/>
              <w:jc w:val="left"/>
            </w:pPr>
            <w:r>
              <w:t xml:space="preserve">DNA Extraction Kit, Genomic Grade, 200 Reactions (for sample preparation in Japan Kyoto lab)</w:t>
            </w:r>
          </w:p>
        </w:tc>
        <w:tc>
          <w:tcPr/>
          <w:p>
            <w:pPr>
              <w:pStyle w:val="Compact"/>
              <w:jc w:val="left"/>
            </w:pPr>
            <w:r>
              <w:t xml:space="preserve">6</w:t>
            </w:r>
          </w:p>
        </w:tc>
        <w:tc>
          <w:tcPr/>
          <w:p>
            <w:pPr>
              <w:pStyle w:val="Compact"/>
              <w:jc w:val="left"/>
            </w:pPr>
            <w:r>
              <w:t xml:space="preserve">Kit</w:t>
            </w:r>
          </w:p>
        </w:tc>
        <w:tc>
          <w:tcPr/>
          <w:p>
            <w:pPr>
              <w:pStyle w:val="Compact"/>
              <w:jc w:val="left"/>
            </w:pPr>
            <w:r>
              <w:t xml:space="preserve">58,000</w:t>
            </w:r>
          </w:p>
        </w:tc>
        <w:tc>
          <w:tcPr/>
          <w:p>
            <w:pPr>
              <w:pStyle w:val="Compact"/>
              <w:jc w:val="left"/>
            </w:pPr>
            <w:r>
              <w:t xml:space="preserve">348,000</w:t>
            </w:r>
          </w:p>
        </w:tc>
      </w:tr>
      <w:tr>
        <w:tc>
          <w:tcPr/>
          <w:p>
            <w:pPr>
              <w:pStyle w:val="Compact"/>
              <w:jc w:val="left"/>
            </w:pPr>
            <w:r>
              <w:t xml:space="preserve">8</w:t>
            </w:r>
          </w:p>
        </w:tc>
        <w:tc>
          <w:tcPr/>
          <w:p>
            <w:pPr>
              <w:pStyle w:val="Compact"/>
              <w:jc w:val="left"/>
            </w:pPr>
            <w:r>
              <w:t xml:space="preserve">Lab Notebook, Spiral-Bound, 200 Pages, A4 (for Academic Researcher documentation and data logging)</w:t>
            </w:r>
          </w:p>
        </w:tc>
        <w:tc>
          <w:tcPr/>
          <w:p>
            <w:pPr>
              <w:pStyle w:val="Compact"/>
              <w:jc w:val="left"/>
            </w:pPr>
            <w:r>
              <w:t xml:space="preserve">20</w:t>
            </w:r>
          </w:p>
        </w:tc>
        <w:tc>
          <w:tcPr/>
          <w:p>
            <w:pPr>
              <w:pStyle w:val="Compact"/>
              <w:jc w:val="left"/>
            </w:pPr>
            <w:r>
              <w:t xml:space="preserve">Unit</w:t>
            </w:r>
          </w:p>
        </w:tc>
        <w:tc>
          <w:tcPr/>
          <w:p>
            <w:pPr>
              <w:pStyle w:val="Compact"/>
              <w:jc w:val="left"/>
            </w:pPr>
            <w:r>
              <w:t xml:space="preserve">1,850</w:t>
            </w:r>
          </w:p>
        </w:tc>
        <w:tc>
          <w:tcPr/>
          <w:p>
            <w:pPr>
              <w:pStyle w:val="Compact"/>
              <w:jc w:val="left"/>
            </w:pPr>
            <w:r>
              <w:t xml:space="preserve">37,000</w:t>
            </w:r>
          </w:p>
        </w:tc>
      </w:tr>
      <w:tr>
        <w:tc>
          <w:tcPr/>
          <w:p>
            <w:pPr>
              <w:pStyle w:val="Compact"/>
              <w:jc w:val="left"/>
            </w:pPr>
            <w:r>
              <w:t xml:space="preserve">9</w:t>
            </w:r>
          </w:p>
        </w:tc>
        <w:tc>
          <w:tcPr/>
          <w:p>
            <w:pPr>
              <w:pStyle w:val="Compact"/>
              <w:jc w:val="left"/>
            </w:pPr>
            <w:r>
              <w:t xml:space="preserve">Personal Protective Equipment Set: Nitrile Gloves, Lab Coats, Safety Goggles (Annual supply for 4 researchers)</w:t>
            </w:r>
          </w:p>
        </w:tc>
        <w:tc>
          <w:tcPr/>
          <w:p>
            <w:pPr>
              <w:pStyle w:val="Compact"/>
              <w:jc w:val="left"/>
            </w:pPr>
            <w:r>
              <w:t xml:space="preserve">4</w:t>
            </w:r>
          </w:p>
        </w:tc>
        <w:tc>
          <w:tcPr/>
          <w:p>
            <w:pPr>
              <w:pStyle w:val="Compact"/>
              <w:jc w:val="left"/>
            </w:pPr>
            <w:r>
              <w:t xml:space="preserve">Set</w:t>
            </w:r>
          </w:p>
        </w:tc>
        <w:tc>
          <w:tcPr/>
          <w:p>
            <w:pPr>
              <w:pStyle w:val="Compact"/>
              <w:jc w:val="left"/>
            </w:pPr>
            <w:r>
              <w:t xml:space="preserve">15,600</w:t>
            </w:r>
          </w:p>
        </w:tc>
        <w:tc>
          <w:tcPr/>
          <w:p>
            <w:pPr>
              <w:pStyle w:val="Compact"/>
              <w:jc w:val="left"/>
            </w:pPr>
            <w:r>
              <w:t xml:space="preserve">62,400</w:t>
            </w:r>
          </w:p>
        </w:tc>
      </w:tr>
      <w:tr>
        <w:tc>
          <w:tcPr/>
          <w:p>
            <w:pPr>
              <w:pStyle w:val="Compact"/>
              <w:jc w:val="left"/>
            </w:pPr>
            <w:r>
              <w:t xml:space="preserve">10</w:t>
            </w:r>
          </w:p>
        </w:tc>
        <w:tc>
          <w:tcPr/>
          <w:p>
            <w:pPr>
              <w:pStyle w:val="Compact"/>
              <w:jc w:val="left"/>
            </w:pPr>
            <w:r>
              <w:t xml:space="preserve">Calibration Service and Annual Maintenance Contract for Confocal Microscope (Year 1, Japan Kyoto on-site service)</w:t>
            </w:r>
          </w:p>
        </w:tc>
        <w:tc>
          <w:tcPr/>
          <w:p>
            <w:pPr>
              <w:pStyle w:val="Compact"/>
              <w:jc w:val="left"/>
            </w:pPr>
            <w:r>
              <w:t xml:space="preserve">1</w:t>
            </w:r>
          </w:p>
        </w:tc>
        <w:tc>
          <w:tcPr/>
          <w:p>
            <w:pPr>
              <w:pStyle w:val="Compact"/>
              <w:jc w:val="left"/>
            </w:pPr>
            <w:r>
              <w:t xml:space="preserve">Contract</w:t>
            </w:r>
          </w:p>
        </w:tc>
        <w:tc>
          <w:tcPr/>
          <w:p>
            <w:pPr>
              <w:pStyle w:val="Compact"/>
              <w:jc w:val="left"/>
            </w:pPr>
            <w:r>
              <w:t xml:space="preserve">320,000</w:t>
            </w:r>
          </w:p>
        </w:tc>
        <w:tc>
          <w:tcPr/>
          <w:p>
            <w:pPr>
              <w:pStyle w:val="Compact"/>
              <w:jc w:val="left"/>
            </w:pPr>
            <w:r>
              <w:t xml:space="preserve">320,000</w:t>
            </w:r>
          </w:p>
        </w:tc>
      </w:tr>
    </w:tbl>
    <w:bookmarkEnd w:id="22"/>
    <w:bookmarkStart w:id="23" w:name="cost-summary"/>
    <w:p>
      <w:pPr>
        <w:pStyle w:val="Heading2"/>
      </w:pPr>
      <w:r>
        <w:t xml:space="preserve">4. Cost Summary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Description</w:t>
            </w:r>
          </w:p>
        </w:tc>
        <w:tc>
          <w:tcPr/>
          <w:p>
            <w:pPr>
              <w:pStyle w:val="Compact"/>
              <w:jc w:val="left"/>
            </w:pPr>
            <w:r>
              <w:t xml:space="preserve">Amount (JPY)</w:t>
            </w:r>
          </w:p>
        </w:tc>
      </w:tr>
      <w:tr>
        <w:tc>
          <w:tcPr/>
          <w:p>
            <w:pPr>
              <w:pStyle w:val="Compact"/>
              <w:jc w:val="left"/>
            </w:pPr>
            <w:r>
              <w:t xml:space="preserve">Subtotal (Items 1–10)</w:t>
            </w:r>
          </w:p>
        </w:tc>
        <w:tc>
          <w:tcPr/>
          <w:p>
            <w:pPr>
              <w:pStyle w:val="Compact"/>
              <w:jc w:val="left"/>
            </w:pPr>
            <w:r>
              <w:t xml:space="preserve">9,347,200</w:t>
            </w:r>
          </w:p>
        </w:tc>
      </w:tr>
      <w:tr>
        <w:tc>
          <w:tcPr/>
          <w:p>
            <w:pPr>
              <w:pStyle w:val="Compact"/>
              <w:jc w:val="left"/>
            </w:pPr>
            <w:r>
              <w:t xml:space="preserve">Domestic Shipping within Japan Kyoto Prefecture</w:t>
            </w:r>
          </w:p>
        </w:tc>
        <w:tc>
          <w:tcPr/>
          <w:p>
            <w:pPr>
              <w:pStyle w:val="Compact"/>
              <w:jc w:val="left"/>
            </w:pPr>
            <w:r>
              <w:t xml:space="preserve">45,000</w:t>
            </w:r>
          </w:p>
        </w:tc>
      </w:tr>
      <w:tr>
        <w:tc>
          <w:tcPr/>
          <w:p>
            <w:pPr>
              <w:pStyle w:val="Compact"/>
              <w:jc w:val="left"/>
            </w:pPr>
            <w:r>
              <w:t xml:space="preserve">Consumable Tax (10% Japanese Consumption Tax)</w:t>
            </w:r>
          </w:p>
        </w:tc>
        <w:tc>
          <w:tcPr/>
          <w:p>
            <w:pPr>
              <w:pStyle w:val="Compact"/>
              <w:jc w:val="left"/>
            </w:pPr>
            <w:r>
              <w:t xml:space="preserve">939,220</w:t>
            </w:r>
          </w:p>
        </w:tc>
      </w:tr>
      <w:tr>
        <w:tc>
          <w:tcPr/>
          <w:p>
            <w:pPr>
              <w:pStyle w:val="Compact"/>
              <w:jc w:val="left"/>
            </w:pPr>
            <w:r>
              <w:rPr>
                <w:bCs/>
                <w:b/>
              </w:rPr>
              <w:t xml:space="preserve">Purchase Order Total</w:t>
            </w:r>
          </w:p>
        </w:tc>
        <w:tc>
          <w:tcPr/>
          <w:p>
            <w:pPr>
              <w:pStyle w:val="Compact"/>
              <w:jc w:val="left"/>
            </w:pPr>
            <w:r>
              <w:rPr>
                <w:bCs/>
                <w:b/>
              </w:rPr>
              <w:t xml:space="preserve">10,331,420</w:t>
            </w:r>
          </w:p>
        </w:tc>
      </w:tr>
    </w:tbl>
    <w:bookmarkEnd w:id="23"/>
    <w:bookmarkStart w:id="24" w:name="terms-and-conditions"/>
    <w:p>
      <w:pPr>
        <w:pStyle w:val="Heading2"/>
      </w:pPr>
      <w:r>
        <w:t xml:space="preserve">5. Terms and Conditions</w:t>
      </w:r>
    </w:p>
    <w:p>
      <w:pPr>
        <w:pStyle w:val="FirstParagraph"/>
      </w:pPr>
      <w:r>
        <w:t xml:space="preserve">The following terms govern this Purchase Order and the transaction between the Academic Researcher and the vendor:</w:t>
      </w:r>
    </w:p>
    <w:p>
      <w:pPr>
        <w:numPr>
          <w:ilvl w:val="0"/>
          <w:numId w:val="1001"/>
        </w:numPr>
        <w:pStyle w:val="Compact"/>
      </w:pPr>
      <w:r>
        <w:rPr>
          <w:bCs/>
          <w:b/>
        </w:rPr>
        <w:t xml:space="preserve">Delivery:</w:t>
      </w:r>
      <w:r>
        <w:t xml:space="preserve"> </w:t>
      </w:r>
      <w:r>
        <w:t xml:space="preserve">All items under this Purchase Order shall be delivered to the designated laboratory address in Japan Kyoto no later than 05 July 2025. The vendor shall provide written confirmation of shipment within three (3) business days of order acceptance.</w:t>
      </w:r>
    </w:p>
    <w:p>
      <w:pPr>
        <w:numPr>
          <w:ilvl w:val="0"/>
          <w:numId w:val="1001"/>
        </w:numPr>
        <w:pStyle w:val="Compact"/>
      </w:pPr>
      <w:r>
        <w:rPr>
          <w:bCs/>
          <w:b/>
        </w:rPr>
        <w:t xml:space="preserve">Quality Assurance:</w:t>
      </w:r>
      <w:r>
        <w:t xml:space="preserve"> </w:t>
      </w:r>
      <w:r>
        <w:t xml:space="preserve">All scientific instruments and reagents must meet or exceed the specifications outlined in this Purchase Order. The Academic Researcher reserves the right to inspect and reject any item that does not conform to the agreed-upon standards upon arrival in Japan Kyoto.</w:t>
      </w:r>
    </w:p>
    <w:p>
      <w:pPr>
        <w:numPr>
          <w:ilvl w:val="0"/>
          <w:numId w:val="1001"/>
        </w:numPr>
        <w:pStyle w:val="Compact"/>
      </w:pPr>
      <w:r>
        <w:rPr>
          <w:bCs/>
          <w:b/>
        </w:rPr>
        <w:t xml:space="preserve">Warranty:</w:t>
      </w:r>
      <w:r>
        <w:t xml:space="preserve"> </w:t>
      </w:r>
      <w:r>
        <w:t xml:space="preserve">All capital equipment (Items 1, 2, and 10) shall carry a minimum two-year manufacturer's warranty. The vendor shall coordinate any warranty repairs through their Japan Kyoto service center.</w:t>
      </w:r>
    </w:p>
    <w:p>
      <w:pPr>
        <w:numPr>
          <w:ilvl w:val="0"/>
          <w:numId w:val="1001"/>
        </w:numPr>
        <w:pStyle w:val="Compact"/>
      </w:pPr>
      <w:r>
        <w:rPr>
          <w:bCs/>
          <w:b/>
        </w:rPr>
        <w:t xml:space="preserve">Payment:</w:t>
      </w:r>
      <w:r>
        <w:t xml:space="preserve"> </w:t>
      </w:r>
      <w:r>
        <w:t xml:space="preserve">Payment shall be made via bank transfer to the vendor's designated account within thirty (30) calendar days of receipt of a valid tax invoice. The Academic Researcher's institution in Japan Kyoto will process payment through its central accounts payable office.</w:t>
      </w:r>
    </w:p>
    <w:p>
      <w:pPr>
        <w:numPr>
          <w:ilvl w:val="0"/>
          <w:numId w:val="1001"/>
        </w:numPr>
        <w:pStyle w:val="Compact"/>
      </w:pPr>
      <w:r>
        <w:rPr>
          <w:bCs/>
          <w:b/>
        </w:rPr>
        <w:t xml:space="preserve">Intellectual Property:</w:t>
      </w:r>
      <w:r>
        <w:t xml:space="preserve"> </w:t>
      </w:r>
      <w:r>
        <w:t xml:space="preserve">All data generated using the procured equipment remains the sole property of the Academic Researcher and the funding body (JSPS). No vendor claim on research outputs is permitted.</w:t>
      </w:r>
    </w:p>
    <w:p>
      <w:pPr>
        <w:numPr>
          <w:ilvl w:val="0"/>
          <w:numId w:val="1001"/>
        </w:numPr>
        <w:pStyle w:val="Compact"/>
      </w:pPr>
      <w:r>
        <w:rPr>
          <w:bCs/>
          <w:b/>
        </w:rPr>
        <w:t xml:space="preserve">Compliance:</w:t>
      </w:r>
      <w:r>
        <w:t xml:space="preserve"> </w:t>
      </w:r>
      <w:r>
        <w:t xml:space="preserve">This Purchase Order complies with the procurement regulations of Kyoto University and the Japanese Ministry of Education, Culture, Sports, Science and Technology (MEXT) guidelines for academic research funding.</w:t>
      </w:r>
    </w:p>
    <w:p>
      <w:pPr>
        <w:numPr>
          <w:ilvl w:val="0"/>
          <w:numId w:val="1001"/>
        </w:numPr>
        <w:pStyle w:val="Compact"/>
      </w:pPr>
      <w:r>
        <w:rPr>
          <w:bCs/>
          <w:b/>
        </w:rPr>
        <w:t xml:space="preserve">Dispute Resolution:</w:t>
      </w:r>
      <w:r>
        <w:t xml:space="preserve"> </w:t>
      </w:r>
      <w:r>
        <w:t xml:space="preserve">Any disputes arising from this Purchase Order shall be resolved under the laws of Japan, with jurisdiction in the Kyoto District Court, Japan Kyoto.</w:t>
      </w:r>
    </w:p>
    <w:bookmarkEnd w:id="24"/>
    <w:bookmarkStart w:id="25" w:name="special-notes-for-japan-kyoto-delivery"/>
    <w:p>
      <w:pPr>
        <w:pStyle w:val="Heading2"/>
      </w:pPr>
      <w:r>
        <w:t xml:space="preserve">6. Special Notes for Japan Kyoto Delivery</w:t>
      </w:r>
    </w:p>
    <w:p>
      <w:pPr>
        <w:pStyle w:val="FirstParagraph"/>
      </w:pPr>
      <w:r>
        <w:rPr>
          <w:bCs/>
          <w:b/>
        </w:rPr>
        <w:t xml:space="preserve">IMPORTANT:</w:t>
      </w:r>
      <w:r>
        <w:t xml:space="preserve"> </w:t>
      </w:r>
      <w:r>
        <w:t xml:space="preserve">The delivery address is located within the historic Sakyo-ku district of Japan Kyoto. The vendor is advised that vehicle access to the university campus is restricted between 08:00 and 17:00. Deliveries must be scheduled through the campus logistics office at least five (5) business days in advance. The Academic Researcher's laboratory is on the third floor of Building C; a freight elevator is available for equipment weighing over 20 kg. Please contact the Japan Kyoto campus security desk at +81-75-881-5100 for gate access codes on the day of delivery.</w:t>
      </w:r>
    </w:p>
    <w:bookmarkEnd w:id="25"/>
    <w:bookmarkStart w:id="26" w:name="authorization-and-signatures"/>
    <w:p>
      <w:pPr>
        <w:pStyle w:val="Heading2"/>
      </w:pPr>
      <w:r>
        <w:t xml:space="preserve">7. Authorization and Signatures</w:t>
      </w:r>
    </w:p>
    <w:p>
      <w:pPr>
        <w:pStyle w:val="FirstParagraph"/>
      </w:pPr>
      <w:r>
        <w:t xml:space="preserve">This Purchase Order is authorized and approved by the following parties. By signing below, each party acknowledges the terms, conditions, and itemized costs set forth in this document for the benefit of the Academic Researcher's ongoing work in Japan Kyoto.</w:t>
      </w:r>
    </w:p>
    <w:p>
      <w:pPr>
        <w:pStyle w:val="BodyText"/>
      </w:pPr>
      <w:r>
        <w:rPr>
          <w:bCs/>
          <w:b/>
        </w:rPr>
        <w:t xml:space="preserve">Prepared by (Academic Researcher):</w:t>
      </w:r>
    </w:p>
    <w:p>
      <w:pPr>
        <w:pStyle w:val="BodyText"/>
      </w:pPr>
      <w:r>
        <w:t xml:space="preserve">Dr. Haruki Tanabe, PhD</w:t>
      </w:r>
      <w:r>
        <w:br/>
      </w:r>
      <w:r>
        <w:t xml:space="preserve">Senior Academic Researcher</w:t>
      </w:r>
      <w:r>
        <w:br/>
      </w:r>
      <w:r>
        <w:t xml:space="preserve">Kyoto University Research Institute</w:t>
      </w:r>
      <w:r>
        <w:br/>
      </w:r>
      <w:r>
        <w:t xml:space="preserve">Date: _______________</w:t>
      </w:r>
    </w:p>
    <w:p>
      <w:pPr>
        <w:pStyle w:val="BodyText"/>
      </w:pPr>
      <w:r>
        <w:rPr>
          <w:bCs/>
          <w:b/>
        </w:rPr>
        <w:t xml:space="preserve">Approved by (Department Head):</w:t>
      </w:r>
    </w:p>
    <w:p>
      <w:pPr>
        <w:pStyle w:val="BodyText"/>
      </w:pPr>
      <w:r>
        <w:t xml:space="preserve">Prof. Kenji Watanabe</w:t>
      </w:r>
      <w:r>
        <w:br/>
      </w:r>
      <w:r>
        <w:t xml:space="preserve">Head, Dept. of Molecular Biology</w:t>
      </w:r>
      <w:r>
        <w:br/>
      </w:r>
      <w:r>
        <w:t xml:space="preserve">Kyoto University, Japan Kyoto</w:t>
      </w:r>
      <w:r>
        <w:br/>
      </w:r>
      <w:r>
        <w:t xml:space="preserve">Date: _______________</w:t>
      </w:r>
    </w:p>
    <w:p>
      <w:pPr>
        <w:pStyle w:val="BodyText"/>
      </w:pPr>
      <w:r>
        <w:rPr>
          <w:bCs/>
          <w:b/>
        </w:rPr>
        <w:t xml:space="preserve">Accepted by (Vendor):</w:t>
      </w:r>
    </w:p>
    <w:p>
      <w:pPr>
        <w:pStyle w:val="BodyText"/>
      </w:pPr>
      <w:r>
        <w:t xml:space="preserve">Mrs. Yuki Sato</w:t>
      </w:r>
      <w:r>
        <w:br/>
      </w:r>
      <w:r>
        <w:t xml:space="preserve">Procurement Manager</w:t>
      </w:r>
      <w:r>
        <w:br/>
      </w:r>
      <w:r>
        <w:t xml:space="preserve">Kyoto Scientific Instruments Co., Ltd.</w:t>
      </w:r>
      <w:r>
        <w:br/>
      </w:r>
      <w:r>
        <w:t xml:space="preserve">Date: _______________</w:t>
      </w:r>
    </w:p>
    <w:p>
      <w:pPr>
        <w:pStyle w:val="BodyText"/>
      </w:pPr>
      <w:r>
        <w:t xml:space="preserve">Purchase Order PO-KYO-2025-04871 | Issued for Academic Researcher use in Japan Kyoto | Page 1 of 1</w:t>
      </w:r>
    </w:p>
    <w:p>
      <w:pPr>
        <w:pStyle w:val="BodyText"/>
      </w:pPr>
      <w:r>
        <w:t xml:space="preserve">This document is a controlled procurement record. Unauthorized reproduction or distribution is prohibited under Japan Kyoto institutional policy.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Academic Researcher - Japan Kyoto</dc:title>
  <dc:creator/>
  <dc:language>en</dc:language>
  <cp:keywords/>
  <dcterms:created xsi:type="dcterms:W3CDTF">2026-10-10T05:09:46Z</dcterms:created>
  <dcterms:modified xsi:type="dcterms:W3CDTF">2026-10-10T05:09:46Z</dcterms:modified>
</cp:coreProperties>
</file>

<file path=docProps/custom.xml><?xml version="1.0" encoding="utf-8"?>
<Properties xmlns="http://schemas.openxmlformats.org/officeDocument/2006/custom-properties" xmlns:vt="http://schemas.openxmlformats.org/officeDocument/2006/docPropsVTypes"/>
</file>