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Universiti Teknologi Malaysia – Faculty of Science &amp; Technology</w:t>
      </w:r>
    </w:p>
    <w:p>
      <w:pPr>
        <w:pStyle w:val="BodyText"/>
      </w:pPr>
      <w:r>
        <w:t xml:space="preserve">Research &amp; Development Division, Level 12, Menara Sains, Jalan Sultan Yahya Petra</w:t>
      </w:r>
    </w:p>
    <w:p>
      <w:pPr>
        <w:pStyle w:val="BodyText"/>
      </w:pPr>
      <w:r>
        <w:t xml:space="preserve">54100</w:t>
      </w:r>
      <w:r>
        <w:t xml:space="preserve"> </w:t>
      </w:r>
      <w:r>
        <w:t xml:space="preserve">Malaysia Kuala Lumpur</w:t>
      </w:r>
      <w:r>
        <w:t xml:space="preserve">, Federal Territory, Malaysia</w:t>
      </w:r>
    </w:p>
    <w:p>
      <w:pPr>
        <w:pStyle w:val="BodyText"/>
      </w:pPr>
      <w:r>
        <w:t xml:space="preserve">Tel: +60-3-7761-0000 | Email: procurement@utm.edu.my</w:t>
      </w:r>
    </w:p>
    <w:bookmarkEnd w:id="20"/>
    <w:p>
      <w:pPr>
        <w:pStyle w:val="BodyText"/>
      </w:pPr>
      <w:r>
        <w:rPr>
          <w:bCs/>
          <w:b/>
        </w:rPr>
        <w:t xml:space="preserve">Purchase Order No.:</w:t>
      </w:r>
      <w:r>
        <w:t xml:space="preserve"> </w:t>
      </w:r>
      <w:r>
        <w:t xml:space="preserve">PO-2025-KL-04872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August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Malaysian Ringgit (MYR)</w:t>
      </w:r>
    </w:p>
    <w:p>
      <w:pPr>
        <w:pStyle w:val="BodyText"/>
      </w:pPr>
      <w:r>
        <w:rPr>
          <w:bCs/>
          <w:b/>
        </w:rPr>
        <w:t xml:space="preserve">Incoterms:</w:t>
      </w:r>
      <w:r>
        <w:t xml:space="preserve"> </w:t>
      </w:r>
      <w:r>
        <w:t xml:space="preserve">DDP –</w:t>
      </w:r>
      <w:r>
        <w:t xml:space="preserve"> </w:t>
      </w:r>
      <w:r>
        <w:t xml:space="preserve">Malaysia Kuala Lumpur</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Universiti Teknologi Malaysia, Research &amp; Development Division</w:t>
            </w:r>
          </w:p>
        </w:tc>
      </w:tr>
      <w:tr>
        <w:tc>
          <w:tcPr/>
          <w:p>
            <w:pPr>
              <w:pStyle w:val="Compact"/>
              <w:jc w:val="left"/>
            </w:pPr>
            <w:r>
              <w:rPr>
                <w:bCs/>
                <w:b/>
              </w:rPr>
              <w:t xml:space="preserve">Address:</w:t>
            </w:r>
          </w:p>
        </w:tc>
        <w:tc>
          <w:tcPr/>
          <w:p>
            <w:pPr>
              <w:pStyle w:val="Compact"/>
              <w:jc w:val="left"/>
            </w:pPr>
            <w:r>
              <w:t xml:space="preserve">Level 12, Menara Sains, Jalan Sultan Yahya Petra, 54100</w:t>
            </w:r>
            <w:r>
              <w:t xml:space="preserve"> </w:t>
            </w:r>
            <w:r>
              <w:t xml:space="preserve">Malaysia Kuala Lumpur</w:t>
            </w:r>
          </w:p>
        </w:tc>
      </w:tr>
      <w:tr>
        <w:tc>
          <w:tcPr/>
          <w:p>
            <w:pPr>
              <w:pStyle w:val="Compact"/>
              <w:jc w:val="left"/>
            </w:pPr>
            <w:r>
              <w:rPr>
                <w:bCs/>
                <w:b/>
              </w:rPr>
              <w:t xml:space="preserve">Procurement Officer:</w:t>
            </w:r>
          </w:p>
        </w:tc>
        <w:tc>
          <w:tcPr/>
          <w:p>
            <w:pPr>
              <w:pStyle w:val="Compact"/>
              <w:jc w:val="left"/>
            </w:pPr>
            <w:r>
              <w:t xml:space="preserve">Dr. Aisyah binti Rahman, Senior Procurement Analyst</w:t>
            </w:r>
          </w:p>
        </w:tc>
      </w:tr>
      <w:tr>
        <w:tc>
          <w:tcPr/>
          <w:p>
            <w:pPr>
              <w:pStyle w:val="Compact"/>
              <w:jc w:val="left"/>
            </w:pPr>
            <w:r>
              <w:rPr>
                <w:bCs/>
                <w:b/>
              </w:rPr>
              <w:t xml:space="preserve">Cost Centre:</w:t>
            </w:r>
          </w:p>
        </w:tc>
        <w:tc>
          <w:tcPr/>
          <w:p>
            <w:pPr>
              <w:pStyle w:val="Compact"/>
              <w:jc w:val="left"/>
            </w:pPr>
            <w:r>
              <w:t xml:space="preserve">CC-2025-RES-0091 (Academic Researcher Grant – FRGS 2025)</w:t>
            </w:r>
          </w:p>
        </w:tc>
      </w:tr>
      <w:tr>
        <w:tc>
          <w:tcPr/>
          <w:p>
            <w:pPr>
              <w:pStyle w:val="Compact"/>
              <w:jc w:val="left"/>
            </w:pPr>
            <w:r>
              <w:rPr>
                <w:bCs/>
                <w:b/>
              </w:rPr>
              <w:t xml:space="preserve">Project Reference:</w:t>
            </w:r>
          </w:p>
        </w:tc>
        <w:tc>
          <w:tcPr/>
          <w:p>
            <w:pPr>
              <w:pStyle w:val="Compact"/>
              <w:jc w:val="left"/>
            </w:pPr>
            <w:r>
              <w:t xml:space="preserve">FRGS/1/2025/SGC06/UTM/02/1 – Advanced Materials for Renewable Energy</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SciTech Instruments (M) Sdn. Bhd.</w:t>
            </w:r>
          </w:p>
        </w:tc>
      </w:tr>
      <w:tr>
        <w:tc>
          <w:tcPr/>
          <w:p>
            <w:pPr>
              <w:pStyle w:val="Compact"/>
              <w:jc w:val="left"/>
            </w:pPr>
            <w:r>
              <w:rPr>
                <w:bCs/>
                <w:b/>
              </w:rPr>
              <w:t xml:space="preserve">Address:</w:t>
            </w:r>
          </w:p>
        </w:tc>
        <w:tc>
          <w:tcPr/>
          <w:p>
            <w:pPr>
              <w:pStyle w:val="Compact"/>
              <w:jc w:val="left"/>
            </w:pPr>
            <w:r>
              <w:t xml:space="preserve">Lot 8, Jalan PJU 7/4, Mutiara Damansara, 47810 Petaling Jaya, Selangor, Malaysia</w:t>
            </w:r>
          </w:p>
        </w:tc>
      </w:tr>
      <w:tr>
        <w:tc>
          <w:tcPr/>
          <w:p>
            <w:pPr>
              <w:pStyle w:val="Compact"/>
              <w:jc w:val="left"/>
            </w:pPr>
            <w:r>
              <w:rPr>
                <w:bCs/>
                <w:b/>
              </w:rPr>
              <w:t xml:space="preserve">Registration No.:</w:t>
            </w:r>
          </w:p>
        </w:tc>
        <w:tc>
          <w:tcPr/>
          <w:p>
            <w:pPr>
              <w:pStyle w:val="Compact"/>
              <w:jc w:val="left"/>
            </w:pPr>
            <w:r>
              <w:t xml:space="preserve">201001234567 (SSM)</w:t>
            </w:r>
          </w:p>
        </w:tc>
      </w:tr>
      <w:tr>
        <w:tc>
          <w:tcPr/>
          <w:p>
            <w:pPr>
              <w:pStyle w:val="Compact"/>
              <w:jc w:val="left"/>
            </w:pPr>
            <w:r>
              <w:rPr>
                <w:bCs/>
                <w:b/>
              </w:rPr>
              <w:t xml:space="preserve">Contact Person:</w:t>
            </w:r>
          </w:p>
        </w:tc>
        <w:tc>
          <w:tcPr/>
          <w:p>
            <w:pPr>
              <w:pStyle w:val="Compact"/>
              <w:jc w:val="left"/>
            </w:pPr>
            <w:r>
              <w:t xml:space="preserve">Mr. Tan Wei Ming, Sales Director</w:t>
            </w:r>
          </w:p>
        </w:tc>
      </w:tr>
      <w:tr>
        <w:tc>
          <w:tcPr/>
          <w:p>
            <w:pPr>
              <w:pStyle w:val="Compact"/>
              <w:jc w:val="left"/>
            </w:pPr>
            <w:r>
              <w:rPr>
                <w:bCs/>
                <w:b/>
              </w:rPr>
              <w:t xml:space="preserve">Tax ID (SST):</w:t>
            </w:r>
          </w:p>
        </w:tc>
        <w:tc>
          <w:tcPr/>
          <w:p>
            <w:pPr>
              <w:pStyle w:val="Compact"/>
              <w:jc w:val="left"/>
            </w:pPr>
            <w:r>
              <w:t xml:space="preserve">001234567890</w:t>
            </w:r>
          </w:p>
        </w:tc>
      </w:tr>
    </w:tbl>
    <w:bookmarkEnd w:id="22"/>
    <w:bookmarkStart w:id="23" w:name="X38d8d0f5e526f39e117b261cfe8252eccb8e2a0"/>
    <w:p>
      <w:pPr>
        <w:pStyle w:val="Heading2"/>
      </w:pPr>
      <w:r>
        <w:t xml:space="preserve">3. Line Items – Equipment and Materials for Academic Researcher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High-Resolution Scanning Electron Microscope (SEM) – Model ZEISS Sigma 300, including installation, calibration, and operator training for the</w:t>
            </w:r>
            <w:r>
              <w:t xml:space="preserve"> </w:t>
            </w:r>
            <w:r>
              <w:t xml:space="preserve">Academic Researcher</w:t>
            </w:r>
            <w:r>
              <w:t xml:space="preserve"> </w:t>
            </w:r>
            <w:r>
              <w:t xml:space="preserve">team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X-Ray Diffraction (XRD) Analyzer – Bruker D8 Advance, with software licence (5-year) for crystallographic analysis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Thermal Gravimetric Analyzer (TGA) – TA Instruments Q500, for material degradation studies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Lab-grade Nitrogen Gas Cylinder (50L) with regulator and delivery hose – 12-month supply contract</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Research-grade Chemical Reagents – Titanium Dioxide (TiO₂, 99.9%), Zinc Oxide (ZnO, 99.5%), and Ethanol (99.8%) – bulk packaging</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06</w:t>
            </w:r>
          </w:p>
        </w:tc>
        <w:tc>
          <w:tcPr/>
          <w:p>
            <w:pPr>
              <w:pStyle w:val="Compact"/>
              <w:jc w:val="left"/>
            </w:pPr>
            <w:r>
              <w:t xml:space="preserve">Computational Modelling Software – Materials Studio 2025 (DFT simulation), 3-user licence with annual maintenance</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Custom Fabrication – Stainless Steel Sample Preparation Chamber (600mm × 400mm × 300mm) with vacuum port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08</w:t>
            </w:r>
          </w:p>
        </w:tc>
        <w:tc>
          <w:tcPr/>
          <w:p>
            <w:pPr>
              <w:pStyle w:val="Compact"/>
              <w:jc w:val="left"/>
            </w:pPr>
            <w:r>
              <w:t xml:space="preserve">Technical Support &amp; Annual Maintenance Contract (AMC) – covering all instruments listed above, 3-year term</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gridSpan w:val="4"/>
          </w:tcPr>
          <w:p>
            <w:pPr>
              <w:pStyle w:val="Compact"/>
              <w:jc w:val="left"/>
            </w:pPr>
            <w:r>
              <w:rPr>
                <w:bCs/>
                <w:b/>
              </w:rPr>
              <w:t xml:space="preserve">Subtotal</w:t>
            </w:r>
          </w:p>
        </w:tc>
        <w:tc>
          <w:tcPr/>
          <w:p>
            <w:pPr>
              <w:pStyle w:val="Compact"/>
              <w:jc w:val="left"/>
            </w:pPr>
            <w:r>
              <w:rPr>
                <w:bCs/>
                <w:b/>
              </w:rPr>
              <w:t xml:space="preserve">2,758,250.00</w:t>
            </w:r>
          </w:p>
        </w:tc>
      </w:tr>
      <w:tr>
        <w:tc>
          <w:tcPr>
            <w:gridSpan w:val="4"/>
          </w:tcPr>
          <w:p>
            <w:pPr>
              <w:pStyle w:val="Compact"/>
              <w:jc w:val="left"/>
            </w:pPr>
            <w:r>
              <w:rPr>
                <w:bCs/>
                <w:b/>
              </w:rPr>
              <w:t xml:space="preserve">SST (8%)</w:t>
            </w:r>
          </w:p>
        </w:tc>
        <w:tc>
          <w:tcPr/>
          <w:p>
            <w:pPr>
              <w:pStyle w:val="Compact"/>
              <w:jc w:val="left"/>
            </w:pPr>
            <w:r>
              <w:rPr>
                <w:bCs/>
                <w:b/>
              </w:rPr>
              <w:t xml:space="preserve">220,660.00</w:t>
            </w:r>
          </w:p>
        </w:tc>
      </w:tr>
      <w:tr>
        <w:tc>
          <w:tcPr>
            <w:gridSpan w:val="4"/>
          </w:tcPr>
          <w:p>
            <w:pPr>
              <w:pStyle w:val="Compact"/>
              <w:jc w:val="left"/>
            </w:pPr>
            <w:r>
              <w:rPr>
                <w:bCs/>
                <w:b/>
              </w:rPr>
              <w:t xml:space="preserve">GRAND TOTAL (MYR)</w:t>
            </w:r>
          </w:p>
        </w:tc>
        <w:tc>
          <w:tcPr/>
          <w:p>
            <w:pPr>
              <w:pStyle w:val="Compact"/>
              <w:jc w:val="left"/>
            </w:pPr>
            <w:r>
              <w:rPr>
                <w:bCs/>
                <w:b/>
              </w:rPr>
              <w:t xml:space="preserve">2,978,910.00</w:t>
            </w:r>
          </w:p>
        </w:tc>
      </w:tr>
    </w:tbl>
    <w:bookmarkEnd w:id="23"/>
    <w:bookmarkStart w:id="24" w:name="delivery-and-installation"/>
    <w:p>
      <w:pPr>
        <w:pStyle w:val="Heading2"/>
      </w:pPr>
      <w:r>
        <w:t xml:space="preserve">4. Delivery and Installation</w:t>
      </w:r>
    </w:p>
    <w:p>
      <w:pPr>
        <w:pStyle w:val="FirstParagraph"/>
      </w:pPr>
      <w:r>
        <w:t xml:space="preserve">All items specified in this</w:t>
      </w:r>
      <w:r>
        <w:t xml:space="preserve"> </w:t>
      </w:r>
      <w:r>
        <w:t xml:space="preserve">Purchase Order</w:t>
      </w:r>
      <w:r>
        <w:t xml:space="preserve"> </w:t>
      </w:r>
      <w:r>
        <w:t xml:space="preserve">shall be delivered, installed, and calibrated at the buyer's laboratory facility located at Level 12, Menara Sains, Jalan Sultan Yahya Petra, 54100</w:t>
      </w:r>
      <w:r>
        <w:t xml:space="preserve"> </w:t>
      </w:r>
      <w:r>
        <w:t xml:space="preserve">Malaysia Kuala Lumpur</w:t>
      </w:r>
      <w:r>
        <w:t xml:space="preserve">. The supplier is responsible for all logistics, customs clearance (if applicable for imported components), and on-site installation within the</w:t>
      </w:r>
      <w:r>
        <w:t xml:space="preserve"> </w:t>
      </w:r>
      <w:r>
        <w:t xml:space="preserve">Malaysia Kuala Lumpur</w:t>
      </w:r>
      <w:r>
        <w:t xml:space="preserve"> </w:t>
      </w:r>
      <w:r>
        <w:t xml:space="preserve">metropolitan area. A minimum of 14 days' written notice must be provided prior to the delivery of large instruments to allow the</w:t>
      </w:r>
      <w:r>
        <w:t xml:space="preserve"> </w:t>
      </w:r>
      <w:r>
        <w:t xml:space="preserve">Academic Researcher</w:t>
      </w:r>
      <w:r>
        <w:t xml:space="preserve"> </w:t>
      </w:r>
      <w:r>
        <w:t xml:space="preserve">team to prepare the laboratory space, including electrical load verification (three-phase 400V supply) and environmental conditioning (temperature 22°C ± 2°C, humidity 45% ± 5%).</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supplier upon countersignature. All terms are governed by the laws of Malaysia and the Federal Territory of</w:t>
      </w:r>
      <w:r>
        <w:t xml:space="preserve"> </w:t>
      </w:r>
      <w:r>
        <w:t xml:space="preserve">Malaysia Kuala Lumpur</w:t>
      </w:r>
      <w:r>
        <w:t xml:space="preserve">.</w:t>
      </w:r>
    </w:p>
    <w:p>
      <w:pPr>
        <w:numPr>
          <w:ilvl w:val="0"/>
          <w:numId w:val="1001"/>
        </w:numPr>
        <w:pStyle w:val="Compact"/>
      </w:pPr>
      <w:r>
        <w:rPr>
          <w:bCs/>
          <w:b/>
        </w:rPr>
        <w:t xml:space="preserve">5.2</w:t>
      </w:r>
      <w:r>
        <w:t xml:space="preserve"> </w:t>
      </w:r>
      <w:r>
        <w:t xml:space="preserve">Payment shall be made via bank transfer to the supplier's designated account within 45 calendar days from the date of invoice, subject to satisfactory acceptance of all delivered goods and completion of installation.</w:t>
      </w:r>
    </w:p>
    <w:p>
      <w:pPr>
        <w:numPr>
          <w:ilvl w:val="0"/>
          <w:numId w:val="1001"/>
        </w:numPr>
        <w:pStyle w:val="Compact"/>
      </w:pPr>
      <w:r>
        <w:rPr>
          <w:bCs/>
          <w:b/>
        </w:rPr>
        <w:t xml:space="preserve">5.3</w:t>
      </w:r>
      <w:r>
        <w:t xml:space="preserve"> </w:t>
      </w:r>
      <w:r>
        <w:t xml:space="preserve">The supplier warrants that all equipment is new, unused, and free from defects. A minimum 24-month warranty is included for all instruments. The warranty period commences from the date of successful commissioning and sign-off by the</w:t>
      </w:r>
      <w:r>
        <w:t xml:space="preserve"> </w:t>
      </w:r>
      <w:r>
        <w:t xml:space="preserve">Academic Researcher</w:t>
      </w:r>
      <w:r>
        <w:t xml:space="preserve"> </w:t>
      </w:r>
      <w:r>
        <w:t xml:space="preserve">project lead.</w:t>
      </w:r>
    </w:p>
    <w:p>
      <w:pPr>
        <w:numPr>
          <w:ilvl w:val="0"/>
          <w:numId w:val="1001"/>
        </w:numPr>
        <w:pStyle w:val="Compact"/>
      </w:pPr>
      <w:r>
        <w:rPr>
          <w:bCs/>
          <w:b/>
        </w:rPr>
        <w:t xml:space="preserve">5.4</w:t>
      </w:r>
      <w:r>
        <w:t xml:space="preserve"> </w:t>
      </w:r>
      <w:r>
        <w:t xml:space="preserve">The supplier shall provide a minimum of 3 days of on-site operator training for the</w:t>
      </w:r>
      <w:r>
        <w:t xml:space="preserve"> </w:t>
      </w:r>
      <w:r>
        <w:t xml:space="preserve">Academic Researcher</w:t>
      </w:r>
      <w:r>
        <w:t xml:space="preserve"> </w:t>
      </w:r>
      <w:r>
        <w:t xml:space="preserve">team (up to 5 personnel) at the</w:t>
      </w:r>
      <w:r>
        <w:t xml:space="preserve"> </w:t>
      </w:r>
      <w:r>
        <w:t xml:space="preserve">Malaysia Kuala Lumpur</w:t>
      </w:r>
      <w:r>
        <w:t xml:space="preserve"> </w:t>
      </w:r>
      <w:r>
        <w:t xml:space="preserve">facility. Training materials, user manuals, and safety data sheets must be provided in both English and Bahasa Malaysia.</w:t>
      </w:r>
    </w:p>
    <w:p>
      <w:pPr>
        <w:numPr>
          <w:ilvl w:val="0"/>
          <w:numId w:val="1001"/>
        </w:numPr>
        <w:pStyle w:val="Compact"/>
      </w:pPr>
      <w:r>
        <w:rPr>
          <w:bCs/>
          <w:b/>
        </w:rPr>
        <w:t xml:space="preserve">5.5</w:t>
      </w:r>
      <w:r>
        <w:t xml:space="preserve"> </w:t>
      </w:r>
      <w:r>
        <w:t xml:space="preserve">Late delivery beyond the required delivery date shall incur a penalty of 0.5% of the total</w:t>
      </w:r>
      <w:r>
        <w:t xml:space="preserve"> </w:t>
      </w:r>
      <w:r>
        <w:t xml:space="preserve">Purchase Order</w:t>
      </w:r>
      <w:r>
        <w:t xml:space="preserve"> </w:t>
      </w:r>
      <w:r>
        <w:t xml:space="preserve">value per calendar day, capped at 10% of the total value.</w:t>
      </w:r>
    </w:p>
    <w:p>
      <w:pPr>
        <w:numPr>
          <w:ilvl w:val="0"/>
          <w:numId w:val="1001"/>
        </w:numPr>
        <w:pStyle w:val="Compact"/>
      </w:pPr>
      <w:r>
        <w:rPr>
          <w:bCs/>
          <w:b/>
        </w:rPr>
        <w:t xml:space="preserve">5.6</w:t>
      </w:r>
      <w:r>
        <w:t xml:space="preserve"> </w:t>
      </w:r>
      <w:r>
        <w:t xml:space="preserve">The buyer reserves the right to inspect all goods upon delivery. Any discrepancies, damage, or non-conformity must be reported within 7 working days of receipt.</w:t>
      </w:r>
    </w:p>
    <w:p>
      <w:pPr>
        <w:numPr>
          <w:ilvl w:val="0"/>
          <w:numId w:val="1001"/>
        </w:numPr>
        <w:pStyle w:val="Compact"/>
      </w:pPr>
      <w:r>
        <w:rPr>
          <w:bCs/>
          <w:b/>
        </w:rPr>
        <w:t xml:space="preserve">5.7</w:t>
      </w:r>
      <w:r>
        <w:t xml:space="preserve"> </w:t>
      </w:r>
      <w:r>
        <w:t xml:space="preserve">This</w:t>
      </w:r>
      <w:r>
        <w:t xml:space="preserve"> </w:t>
      </w:r>
      <w:r>
        <w:t xml:space="preserve">Purchase Order</w:t>
      </w:r>
      <w:r>
        <w:t xml:space="preserve"> </w:t>
      </w:r>
      <w:r>
        <w:t xml:space="preserve">is issued under the FRGS (Fundamental Research Grant Scheme) 2025 allocation. All expenditures must comply with the Malaysian Ministry of Education's research funding guidelines and the Public Financial Management Act 2025.</w:t>
      </w:r>
    </w:p>
    <w:p>
      <w:pPr>
        <w:numPr>
          <w:ilvl w:val="0"/>
          <w:numId w:val="1001"/>
        </w:numPr>
        <w:pStyle w:val="Compact"/>
      </w:pPr>
      <w:r>
        <w:rPr>
          <w:bCs/>
          <w:b/>
        </w:rPr>
        <w:t xml:space="preserve">5.8</w:t>
      </w:r>
      <w:r>
        <w:t xml:space="preserve"> </w:t>
      </w:r>
      <w:r>
        <w:t xml:space="preserve">The supplier shall comply with all applicable Malaysian environmental, occupational health and safety (OHS), and laboratory safety regulations as enforced by the Department of Occupational Safety and Health (DOSH/JKKP) in</w:t>
      </w:r>
      <w:r>
        <w:t xml:space="preserve"> </w:t>
      </w:r>
      <w:r>
        <w:t xml:space="preserve">Malaysia Kuala Lumpur</w:t>
      </w:r>
      <w:r>
        <w:t xml:space="preserve">.</w:t>
      </w:r>
    </w:p>
    <w:bookmarkEnd w:id="25"/>
    <w:bookmarkStart w:id="26" w:name="project-context-and-justification"/>
    <w:p>
      <w:pPr>
        <w:pStyle w:val="Heading2"/>
      </w:pPr>
      <w:r>
        <w:t xml:space="preserve">6. Project Context and Justification</w:t>
      </w:r>
    </w:p>
    <w:p>
      <w:pPr>
        <w:pStyle w:val="FirstParagraph"/>
      </w:pPr>
      <w:r>
        <w:t xml:space="preserve">This</w:t>
      </w:r>
      <w:r>
        <w:t xml:space="preserve"> </w:t>
      </w:r>
      <w:r>
        <w:t xml:space="preserve">Purchase Order</w:t>
      </w:r>
      <w:r>
        <w:t xml:space="preserve"> </w:t>
      </w:r>
      <w:r>
        <w:t xml:space="preserve">supports the research programme led by</w:t>
      </w:r>
      <w:r>
        <w:t xml:space="preserve"> </w:t>
      </w:r>
      <w:r>
        <w:t xml:space="preserve">Academic Researcher</w:t>
      </w:r>
      <w:r>
        <w:t xml:space="preserve"> </w:t>
      </w:r>
      <w:r>
        <w:t xml:space="preserve">Prof. Dr. Muhammad Faisal bin Ismail, Principal Investigator, Department of Materials Science and Engineering. The project, titled "Advanced Nanocomposite Materials for Next-Generation Photovoltaic Applications," requires state-of-the-art characterization and fabrication equipment to meet the 3-year research timeline (July 2025 – June 2028). The acquisition of the instruments listed herein is critical to enabling the</w:t>
      </w:r>
      <w:r>
        <w:t xml:space="preserve"> </w:t>
      </w:r>
      <w:r>
        <w:t xml:space="preserve">Academic Researcher</w:t>
      </w:r>
      <w:r>
        <w:t xml:space="preserve"> </w:t>
      </w:r>
      <w:r>
        <w:t xml:space="preserve">team to conduct high-precision material analysis, computational modelling, and prototype development within the</w:t>
      </w:r>
      <w:r>
        <w:t xml:space="preserve"> </w:t>
      </w:r>
      <w:r>
        <w:t xml:space="preserve">Malaysia Kuala Lumpur</w:t>
      </w:r>
      <w:r>
        <w:t xml:space="preserve"> </w:t>
      </w:r>
      <w:r>
        <w:t xml:space="preserve">research ecosystem. The total funding of MYR 2,978,910.00 has been approved by the University Research Committee and is allocated from the FRGS 2025 grant cycle.</w:t>
      </w:r>
    </w:p>
    <w:bookmarkEnd w:id="26"/>
    <w:bookmarkStart w:id="27" w:name="approval-and-authorization"/>
    <w:p>
      <w:pPr>
        <w:pStyle w:val="Heading2"/>
      </w:pPr>
      <w:r>
        <w:t xml:space="preserve">7. Approval and Authorization</w:t>
      </w:r>
    </w:p>
    <w:p>
      <w:pPr>
        <w:pStyle w:val="FirstParagraph"/>
      </w:pPr>
      <w:r>
        <w:t xml:space="preserve">This</w:t>
      </w:r>
      <w:r>
        <w:t xml:space="preserve"> </w:t>
      </w:r>
      <w:r>
        <w:t xml:space="preserve">Purchase Order</w:t>
      </w:r>
      <w:r>
        <w:t xml:space="preserve"> </w:t>
      </w:r>
      <w:r>
        <w:t xml:space="preserve">has been reviewed and approved by the undersigned authorities. By signing below, both parties acknowledge and agree to all terms, conditions, and specifications outlined in this document. The</w:t>
      </w:r>
      <w:r>
        <w:t xml:space="preserve"> </w:t>
      </w:r>
      <w:r>
        <w:t xml:space="preserve">Academic Researcher</w:t>
      </w:r>
      <w:r>
        <w:t xml:space="preserve"> </w:t>
      </w:r>
      <w:r>
        <w:t xml:space="preserve">project lead confirms that the requested equipment aligns with the approved research methodology and budget allocation.</w:t>
      </w:r>
    </w:p>
    <w:bookmarkEnd w:id="27"/>
    <w:p>
      <w:pPr>
        <w:pStyle w:val="BodyText"/>
      </w:pPr>
      <w:r>
        <w:rPr>
          <w:bCs/>
          <w:b/>
        </w:rPr>
        <w:t xml:space="preserve">For and on behalf of the Buyer:</w:t>
      </w:r>
    </w:p>
    <w:p>
      <w:pPr>
        <w:pStyle w:val="BodyText"/>
      </w:pPr>
      <w:r>
        <w:t xml:space="preserve">Dr. Aisyah binti Rahman</w:t>
      </w:r>
    </w:p>
    <w:p>
      <w:pPr>
        <w:pStyle w:val="BodyText"/>
      </w:pPr>
      <w:r>
        <w:t xml:space="preserve">Senior Procurement Analyst</w:t>
      </w:r>
    </w:p>
    <w:p>
      <w:pPr>
        <w:pStyle w:val="BodyText"/>
      </w:pPr>
      <w:r>
        <w:t xml:space="preserve">Universiti Teknologi Malaysia</w:t>
      </w:r>
    </w:p>
    <w:p>
      <w:pPr>
        <w:pStyle w:val="BodyText"/>
      </w:pPr>
      <w:r>
        <w:t xml:space="preserve">Malaysia Kuala Lumpur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Mr. Tan Wei Ming</w:t>
      </w:r>
    </w:p>
    <w:p>
      <w:pPr>
        <w:pStyle w:val="BodyText"/>
      </w:pPr>
      <w:r>
        <w:t xml:space="preserve">Sales Director</w:t>
      </w:r>
    </w:p>
    <w:p>
      <w:pPr>
        <w:pStyle w:val="BodyText"/>
      </w:pPr>
      <w:r>
        <w:t xml:space="preserve">SciTech Instruments (M) Sdn. Bhd.</w:t>
      </w:r>
    </w:p>
    <w:p>
      <w:pPr>
        <w:pStyle w:val="BodyText"/>
      </w:pPr>
      <w:r>
        <w:t xml:space="preserve">Petaling Jaya, Selangor, Malaysia</w:t>
      </w:r>
    </w:p>
    <w:p>
      <w:pPr>
        <w:pStyle w:val="BodyText"/>
      </w:pPr>
      <w:r>
        <w:t xml:space="preserve">Signature: _________________________</w:t>
      </w:r>
    </w:p>
    <w:p>
      <w:pPr>
        <w:pStyle w:val="BodyText"/>
      </w:pPr>
      <w:r>
        <w:t xml:space="preserve">Date: _________________________</w:t>
      </w:r>
    </w:p>
    <w:p>
      <w:pPr>
        <w:pStyle w:val="BodyText"/>
      </w:pPr>
      <w:r>
        <w:rPr>
          <w:bCs/>
          <w:b/>
        </w:rPr>
        <w:t xml:space="preserve">Academic Researcher – Project Lead (Technical Acceptance):</w:t>
      </w:r>
    </w:p>
    <w:p>
      <w:pPr>
        <w:pStyle w:val="BodyText"/>
      </w:pPr>
      <w:r>
        <w:t xml:space="preserve">Prof. Dr. Muhammad Faisal bin Ismail</w:t>
      </w:r>
    </w:p>
    <w:p>
      <w:pPr>
        <w:pStyle w:val="BodyText"/>
      </w:pPr>
      <w:r>
        <w:t xml:space="preserve">Principal Investigator</w:t>
      </w:r>
    </w:p>
    <w:p>
      <w:pPr>
        <w:pStyle w:val="BodyText"/>
      </w:pPr>
      <w:r>
        <w:t xml:space="preserve">Dept. of Materials Science &amp; Engineering</w:t>
      </w:r>
    </w:p>
    <w:p>
      <w:pPr>
        <w:pStyle w:val="BodyText"/>
      </w:pPr>
      <w:r>
        <w:t xml:space="preserve">Signature: _________________________</w:t>
      </w:r>
    </w:p>
    <w:p>
      <w:pPr>
        <w:pStyle w:val="BodyText"/>
      </w:pPr>
      <w:r>
        <w:t xml:space="preserve">Date: _________________________</w:t>
      </w:r>
    </w:p>
    <w:p>
      <w:pPr>
        <w:pStyle w:val="BodyText"/>
      </w:pPr>
      <w:r>
        <w:rPr>
          <w:bCs/>
          <w:b/>
        </w:rPr>
        <w:t xml:space="preserve">Finance &amp; Budget Clearance:</w:t>
      </w:r>
    </w:p>
    <w:p>
      <w:pPr>
        <w:pStyle w:val="BodyText"/>
      </w:pPr>
      <w:r>
        <w:t xml:space="preserve">Ms. Nurul Huda binti Kassim</w:t>
      </w:r>
    </w:p>
    <w:p>
      <w:pPr>
        <w:pStyle w:val="BodyText"/>
      </w:pPr>
      <w:r>
        <w:t xml:space="preserve">Head of Research Finance</w:t>
      </w:r>
    </w:p>
    <w:p>
      <w:pPr>
        <w:pStyle w:val="BodyText"/>
      </w:pPr>
      <w:r>
        <w:t xml:space="preserve">Universiti Teknologi Malaysia</w:t>
      </w:r>
    </w:p>
    <w:p>
      <w:pPr>
        <w:pStyle w:val="BodyText"/>
      </w:pPr>
      <w:r>
        <w:t xml:space="preserve">Malaysia Kuala Lumpur</w:t>
      </w:r>
    </w:p>
    <w:p>
      <w:pPr>
        <w:pStyle w:val="BodyText"/>
      </w:pPr>
      <w:r>
        <w:t xml:space="preserve">Signature: _________________________</w:t>
      </w:r>
    </w:p>
    <w:p>
      <w:pPr>
        <w:pStyle w:val="BodyText"/>
      </w:pPr>
      <w:r>
        <w:t xml:space="preserve">Date: _________________________</w:t>
      </w:r>
    </w:p>
    <w:p>
      <w:pPr>
        <w:pStyle w:val="BodyText"/>
      </w:pPr>
      <w:r>
        <w:t xml:space="preserve">This</w:t>
      </w:r>
      <w:r>
        <w:t xml:space="preserve"> </w:t>
      </w:r>
      <w:r>
        <w:t xml:space="preserve">Purchase Order</w:t>
      </w:r>
      <w:r>
        <w:t xml:space="preserve"> </w:t>
      </w:r>
      <w:r>
        <w:t xml:space="preserve">(PO-2025-KL-04872) is issued by Universiti Teknologi Malaysia,</w:t>
      </w:r>
      <w:r>
        <w:t xml:space="preserve"> </w:t>
      </w:r>
      <w:r>
        <w:t xml:space="preserve">Malaysia Kuala Lumpur</w:t>
      </w:r>
      <w:r>
        <w:t xml:space="preserve">, for the procurement of research equipment in support of an</w:t>
      </w:r>
      <w:r>
        <w:t xml:space="preserve"> </w:t>
      </w:r>
      <w:r>
        <w:t xml:space="preserve">Academic Researcher</w:t>
      </w:r>
      <w:r>
        <w:t xml:space="preserve"> </w:t>
      </w:r>
      <w:r>
        <w:t xml:space="preserve">grant-funded project. This document is valid for 90 days from the date of issue. Unauthorized reproduction or distribution is prohibited. For queries, contact the Procurement Division at procurement@utm.edu.my or +60-3-7761-0000.</w:t>
      </w:r>
    </w:p>
    <w:p>
      <w:pPr>
        <w:pStyle w:val="BodyText"/>
      </w:pPr>
      <w:r>
        <w:t xml:space="preserve">Document Reference: PO-2025-KL-04872 | Version 1.0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Malaysia Kuala Lumpur</dc:title>
  <dc:creator/>
  <dc:language>en</dc:language>
  <cp:keywords/>
  <dcterms:created xsi:type="dcterms:W3CDTF">2026-10-10T05:10:39Z</dcterms:created>
  <dcterms:modified xsi:type="dcterms:W3CDTF">2026-10-10T05:10:39Z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