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Purchase</w:t>
      </w:r>
      <w:r>
        <w:t xml:space="preserve"> </w:t>
      </w:r>
      <w:r>
        <w:t xml:space="preserve">Order</w:t>
      </w:r>
      <w:r>
        <w:t xml:space="preserve"> </w:t>
      </w:r>
      <w:r>
        <w:t xml:space="preserve">-</w:t>
      </w:r>
      <w:r>
        <w:t xml:space="preserve"> </w:t>
      </w:r>
      <w:r>
        <w:t xml:space="preserve">Academic</w:t>
      </w:r>
      <w:r>
        <w:t xml:space="preserve"> </w:t>
      </w:r>
      <w:r>
        <w:t xml:space="preserve">Researcher</w:t>
      </w:r>
      <w:r>
        <w:t xml:space="preserve"> </w:t>
      </w:r>
      <w:r>
        <w:t xml:space="preserve">-</w:t>
      </w:r>
      <w:r>
        <w:t xml:space="preserve"> </w:t>
      </w:r>
      <w:r>
        <w:t xml:space="preserve">Russia</w:t>
      </w:r>
      <w:r>
        <w:t xml:space="preserve"> </w:t>
      </w:r>
      <w:r>
        <w:t xml:space="preserve">Moscow</w:t>
      </w:r>
    </w:p>
    <w:bookmarkStart w:id="21" w:name="purchase-order"/>
    <w:p>
      <w:pPr>
        <w:pStyle w:val="Heading1"/>
      </w:pPr>
      <w:r>
        <w:t xml:space="preserve">PURCHASE ORDER</w:t>
      </w:r>
    </w:p>
    <w:bookmarkStart w:id="20" w:name="academic-researcher-procurement-document"/>
    <w:p>
      <w:pPr>
        <w:pStyle w:val="Heading2"/>
      </w:pPr>
      <w:r>
        <w:t xml:space="preserve">Academic Researcher Procurement Document</w:t>
      </w:r>
    </w:p>
    <w:p>
      <w:pPr>
        <w:pStyle w:val="FirstParagraph"/>
      </w:pPr>
      <w:r>
        <w:t xml:space="preserve">Issued for use in</w:t>
      </w:r>
      <w:r>
        <w:t xml:space="preserve"> </w:t>
      </w:r>
      <w:r>
        <w:rPr>
          <w:bCs/>
          <w:b/>
        </w:rPr>
        <w:t xml:space="preserve">Russia Moscow</w:t>
      </w:r>
    </w:p>
    <w:p>
      <w:pPr>
        <w:pStyle w:val="BodyText"/>
      </w:pPr>
      <w:r>
        <w:t xml:space="preserve">PO No. RU-MOW-2025-AR-04782</w:t>
      </w:r>
    </w:p>
    <w:bookmarkEnd w:id="20"/>
    <w:bookmarkEnd w:id="21"/>
    <w:bookmarkStart w:id="22" w:name="document-reference"/>
    <w:p>
      <w:pPr>
        <w:pStyle w:val="Heading3"/>
      </w:pPr>
      <w:r>
        <w:t xml:space="preserve">Document Reference</w:t>
      </w:r>
    </w:p>
    <w:p>
      <w:pPr>
        <w:pStyle w:val="FirstParagraph"/>
      </w:pPr>
      <w:r>
        <w:t xml:space="preserve">This</w:t>
      </w:r>
      <w:r>
        <w:t xml:space="preserve"> </w:t>
      </w:r>
      <w:r>
        <w:t xml:space="preserve">Purchase Order</w:t>
      </w:r>
      <w:r>
        <w:t xml:space="preserve"> </w:t>
      </w:r>
      <w:r>
        <w:t xml:space="preserve">is issued in accordance with the procurement regulations governing academic institutions operating within the jurisdiction of</w:t>
      </w:r>
      <w:r>
        <w:t xml:space="preserve"> </w:t>
      </w:r>
      <w:r>
        <w:t xml:space="preserve">Russia Moscow</w:t>
      </w:r>
      <w:r>
        <w:t xml:space="preserve">. It authorizes the acquisition of specialized equipment, materials, and services required to support the ongoing work of a designated</w:t>
      </w:r>
      <w:r>
        <w:t xml:space="preserve"> </w:t>
      </w:r>
      <w:r>
        <w:t xml:space="preserve">Academic Researcher</w:t>
      </w:r>
      <w:r>
        <w:t xml:space="preserve"> </w:t>
      </w:r>
      <w:r>
        <w:t xml:space="preserve">at the Moscow State University Research Institute. This</w:t>
      </w:r>
      <w:r>
        <w:t xml:space="preserve"> </w:t>
      </w:r>
      <w:r>
        <w:t xml:space="preserve">Purchase Order</w:t>
      </w:r>
      <w:r>
        <w:t xml:space="preserve"> </w:t>
      </w:r>
      <w:r>
        <w:t xml:space="preserve">constitutes a binding commitment between the purchasing institution and the approved vendor for the delivery of goods and services as itemized herein.</w:t>
      </w:r>
    </w:p>
    <w:bookmarkEnd w:id="22"/>
    <w:bookmarkStart w:id="23" w:name="parties-involved"/>
    <w:p>
      <w:pPr>
        <w:pStyle w:val="Heading3"/>
      </w:pPr>
      <w:r>
        <w:t xml:space="preserve">Parties Involved</w:t>
      </w:r>
    </w:p>
    <w:p>
      <w:pPr>
        <w:pStyle w:val="FirstParagraph"/>
      </w:pPr>
      <w:r>
        <w:rPr>
          <w:bCs/>
          <w:b/>
        </w:rPr>
        <w:t xml:space="preserve">Purchasing Institution:</w:t>
      </w:r>
    </w:p>
    <w:p>
      <w:pPr>
        <w:pStyle w:val="BodyText"/>
      </w:pPr>
      <w:r>
        <w:t xml:space="preserve">Moscow State University Research Institute</w:t>
      </w:r>
    </w:p>
    <w:p>
      <w:pPr>
        <w:pStyle w:val="BodyText"/>
      </w:pPr>
      <w:r>
        <w:t xml:space="preserve">13, Leninskie Gory, Moscow, 119991, Russia</w:t>
      </w:r>
    </w:p>
    <w:p>
      <w:pPr>
        <w:pStyle w:val="BodyText"/>
      </w:pPr>
      <w:r>
        <w:t xml:space="preserve">Tax ID (INN): 7703024168</w:t>
      </w:r>
    </w:p>
    <w:p>
      <w:pPr>
        <w:pStyle w:val="BodyText"/>
      </w:pPr>
      <w:r>
        <w:t xml:space="preserve">Contact: Dr. Elena V. Petrova, Procurement Director</w:t>
      </w:r>
    </w:p>
    <w:p>
      <w:pPr>
        <w:pStyle w:val="BodyText"/>
      </w:pPr>
      <w:r>
        <w:t xml:space="preserve">Email: procurement@msu-ri.ru</w:t>
      </w:r>
    </w:p>
    <w:p>
      <w:pPr>
        <w:pStyle w:val="BodyText"/>
      </w:pPr>
      <w:r>
        <w:rPr>
          <w:bCs/>
          <w:b/>
        </w:rPr>
        <w:t xml:space="preserve">Vendor / Supplier:</w:t>
      </w:r>
    </w:p>
    <w:p>
      <w:pPr>
        <w:pStyle w:val="BodyText"/>
      </w:pPr>
      <w:r>
        <w:t xml:space="preserve">Scientific Instruments &amp; Solutions Ltd.</w:t>
      </w:r>
    </w:p>
    <w:p>
      <w:pPr>
        <w:pStyle w:val="BodyText"/>
      </w:pPr>
      <w:r>
        <w:t xml:space="preserve">45, Tverskaya Street, Moscow, 125009, Russia</w:t>
      </w:r>
    </w:p>
    <w:p>
      <w:pPr>
        <w:pStyle w:val="BodyText"/>
      </w:pPr>
      <w:r>
        <w:t xml:space="preserve">Tax ID (INN): 7710456321</w:t>
      </w:r>
    </w:p>
    <w:p>
      <w:pPr>
        <w:pStyle w:val="BodyText"/>
      </w:pPr>
      <w:r>
        <w:t xml:space="preserve">Contact: Mr. Dmitry A. Sokolov, Sales Manager</w:t>
      </w:r>
    </w:p>
    <w:p>
      <w:pPr>
        <w:pStyle w:val="BodyText"/>
      </w:pPr>
      <w:r>
        <w:t xml:space="preserve">Email: sales@sis-ltd.ru</w:t>
      </w:r>
    </w:p>
    <w:bookmarkEnd w:id="23"/>
    <w:bookmarkStart w:id="24" w:name="academic-researcher-details"/>
    <w:p>
      <w:pPr>
        <w:pStyle w:val="Heading3"/>
      </w:pPr>
      <w:r>
        <w:t xml:space="preserve">Academic Researcher Details</w:t>
      </w:r>
    </w:p>
    <w:p>
      <w:pPr>
        <w:pStyle w:val="FirstParagraph"/>
      </w:pPr>
      <w:r>
        <w:rPr>
          <w:bCs/>
          <w:b/>
        </w:rPr>
        <w:t xml:space="preserve">Principal Investigator:</w:t>
      </w:r>
      <w:r>
        <w:t xml:space="preserve"> </w:t>
      </w:r>
      <w:r>
        <w:t xml:space="preserve">Prof. Alexander M. Volkov, PhD</w:t>
      </w:r>
    </w:p>
    <w:p>
      <w:pPr>
        <w:pStyle w:val="BodyText"/>
      </w:pPr>
      <w:r>
        <w:rPr>
          <w:bCs/>
          <w:b/>
        </w:rPr>
        <w:t xml:space="preserve">Designation:</w:t>
      </w:r>
      <w:r>
        <w:t xml:space="preserve"> </w:t>
      </w:r>
      <w:r>
        <w:t xml:space="preserve">Senior Academic Researcher, Department of Applied Physics</w:t>
      </w:r>
    </w:p>
    <w:p>
      <w:pPr>
        <w:pStyle w:val="BodyText"/>
      </w:pPr>
      <w:r>
        <w:rPr>
          <w:bCs/>
          <w:b/>
        </w:rPr>
        <w:t xml:space="preserve">Research Project:</w:t>
      </w:r>
      <w:r>
        <w:t xml:space="preserve"> </w:t>
      </w:r>
      <w:r>
        <w:t xml:space="preserve">"Advanced Nanomaterial Characterization for Energy Storage Applications"</w:t>
      </w:r>
    </w:p>
    <w:p>
      <w:pPr>
        <w:pStyle w:val="BodyText"/>
      </w:pPr>
      <w:r>
        <w:rPr>
          <w:bCs/>
          <w:b/>
        </w:rPr>
        <w:t xml:space="preserve">Project Code:</w:t>
      </w:r>
      <w:r>
        <w:t xml:space="preserve"> </w:t>
      </w:r>
      <w:r>
        <w:t xml:space="preserve">AR-2025-NANO-0114</w:t>
      </w:r>
    </w:p>
    <w:p>
      <w:pPr>
        <w:pStyle w:val="BodyText"/>
      </w:pPr>
      <w:r>
        <w:rPr>
          <w:bCs/>
          <w:b/>
        </w:rPr>
        <w:t xml:space="preserve">Employment Status:</w:t>
      </w:r>
      <w:r>
        <w:t xml:space="preserve"> </w:t>
      </w:r>
      <w:r>
        <w:t xml:space="preserve">Full-time Academic Researcher, Moscow State University Research Institute</w:t>
      </w:r>
    </w:p>
    <w:p>
      <w:pPr>
        <w:pStyle w:val="BodyText"/>
      </w:pPr>
      <w:r>
        <w:rPr>
          <w:bCs/>
          <w:b/>
        </w:rPr>
        <w:t xml:space="preserve">Work Location:</w:t>
      </w:r>
      <w:r>
        <w:t xml:space="preserve"> </w:t>
      </w:r>
      <w:r>
        <w:t xml:space="preserve">Laboratory Complex B, Moscow, Russia</w:t>
      </w:r>
    </w:p>
    <w:bookmarkEnd w:id="24"/>
    <w:bookmarkStart w:id="25" w:name="order-details"/>
    <w:p>
      <w:pPr>
        <w:pStyle w:val="Heading3"/>
      </w:pPr>
      <w:r>
        <w:t xml:space="preserve">Order Details</w:t>
      </w:r>
    </w:p>
    <w:tbl>
      <w:tblPr>
        <w:tblStyle w:val="Table"/>
        <w:tblW w:type="auto" w:w="0"/>
        <w:tblLook w:firstRow="1" w:lastRow="0" w:firstColumn="0" w:lastColumn="0" w:noHBand="0" w:noVBand="0" w:val="0020"/>
      </w:tblPr>
      <w:tblGrid>
        <w:gridCol w:w="1584"/>
        <w:gridCol w:w="1584"/>
        <w:gridCol w:w="1584"/>
        <w:gridCol w:w="1584"/>
        <w:gridCol w:w="1584"/>
      </w:tblGrid>
      <w:tr>
        <w:trPr>
          <w:tblHeader w:val="true"/>
        </w:trPr>
        <w:tc>
          <w:tcPr/>
          <w:p>
            <w:pPr>
              <w:pStyle w:val="Compact"/>
              <w:jc w:val="left"/>
            </w:pPr>
            <w:r>
              <w:t xml:space="preserve">Item No.</w:t>
            </w:r>
          </w:p>
        </w:tc>
        <w:tc>
          <w:tcPr/>
          <w:p>
            <w:pPr>
              <w:pStyle w:val="Compact"/>
              <w:jc w:val="left"/>
            </w:pPr>
            <w:r>
              <w:t xml:space="preserve">Description</w:t>
            </w:r>
          </w:p>
        </w:tc>
        <w:tc>
          <w:tcPr/>
          <w:p>
            <w:pPr>
              <w:pStyle w:val="Compact"/>
              <w:jc w:val="left"/>
            </w:pPr>
            <w:r>
              <w:t xml:space="preserve">Qty</w:t>
            </w:r>
          </w:p>
        </w:tc>
        <w:tc>
          <w:tcPr/>
          <w:p>
            <w:pPr>
              <w:pStyle w:val="Compact"/>
              <w:jc w:val="left"/>
            </w:pPr>
            <w:r>
              <w:t xml:space="preserve">Unit Price (RUB)</w:t>
            </w:r>
          </w:p>
        </w:tc>
        <w:tc>
          <w:tcPr/>
          <w:p>
            <w:pPr>
              <w:pStyle w:val="Compact"/>
              <w:jc w:val="left"/>
            </w:pPr>
            <w:r>
              <w:t xml:space="preserve">Total (RUB)</w:t>
            </w:r>
          </w:p>
        </w:tc>
      </w:tr>
      <w:tr>
        <w:tc>
          <w:tcPr/>
          <w:p>
            <w:pPr>
              <w:pStyle w:val="Compact"/>
              <w:jc w:val="left"/>
            </w:pPr>
            <w:r>
              <w:t xml:space="preserve">01</w:t>
            </w:r>
          </w:p>
        </w:tc>
        <w:tc>
          <w:tcPr/>
          <w:p>
            <w:pPr>
              <w:pStyle w:val="Compact"/>
              <w:jc w:val="left"/>
            </w:pPr>
            <w:r>
              <w:t xml:space="preserve">Scanning Electron Microscope (SEM) – Field Emission Type, for Academic Researcher use in materials analysis</w:t>
            </w:r>
          </w:p>
        </w:tc>
        <w:tc>
          <w:tcPr/>
          <w:p>
            <w:pPr>
              <w:pStyle w:val="Compact"/>
              <w:jc w:val="left"/>
            </w:pPr>
            <w:r>
              <w:t xml:space="preserve">1</w:t>
            </w:r>
          </w:p>
        </w:tc>
        <w:tc>
          <w:tcPr/>
          <w:p>
            <w:pPr>
              <w:pStyle w:val="Compact"/>
              <w:jc w:val="left"/>
            </w:pPr>
            <w:r>
              <w:t xml:space="preserve">4,850,000.00</w:t>
            </w:r>
          </w:p>
        </w:tc>
        <w:tc>
          <w:tcPr/>
          <w:p>
            <w:pPr>
              <w:pStyle w:val="Compact"/>
              <w:jc w:val="left"/>
            </w:pPr>
            <w:r>
              <w:t xml:space="preserve">4,850,000.00</w:t>
            </w:r>
          </w:p>
        </w:tc>
      </w:tr>
      <w:tr>
        <w:tc>
          <w:tcPr/>
          <w:p>
            <w:pPr>
              <w:pStyle w:val="Compact"/>
              <w:jc w:val="left"/>
            </w:pPr>
            <w:r>
              <w:t xml:space="preserve">02</w:t>
            </w:r>
          </w:p>
        </w:tc>
        <w:tc>
          <w:tcPr/>
          <w:p>
            <w:pPr>
              <w:pStyle w:val="Compact"/>
              <w:jc w:val="left"/>
            </w:pPr>
            <w:r>
              <w:t xml:space="preserve">X-Ray Diffraction (XRD) Analyzer System with automated sample stage</w:t>
            </w:r>
          </w:p>
        </w:tc>
        <w:tc>
          <w:tcPr/>
          <w:p>
            <w:pPr>
              <w:pStyle w:val="Compact"/>
              <w:jc w:val="left"/>
            </w:pPr>
            <w:r>
              <w:t xml:space="preserve">1</w:t>
            </w:r>
          </w:p>
        </w:tc>
        <w:tc>
          <w:tcPr/>
          <w:p>
            <w:pPr>
              <w:pStyle w:val="Compact"/>
              <w:jc w:val="left"/>
            </w:pPr>
            <w:r>
              <w:t xml:space="preserve">3,200,000.00</w:t>
            </w:r>
          </w:p>
        </w:tc>
        <w:tc>
          <w:tcPr/>
          <w:p>
            <w:pPr>
              <w:pStyle w:val="Compact"/>
              <w:jc w:val="left"/>
            </w:pPr>
            <w:r>
              <w:t xml:space="preserve">3,200,000.00</w:t>
            </w:r>
          </w:p>
        </w:tc>
      </w:tr>
      <w:tr>
        <w:tc>
          <w:tcPr/>
          <w:p>
            <w:pPr>
              <w:pStyle w:val="Compact"/>
              <w:jc w:val="left"/>
            </w:pPr>
            <w:r>
              <w:t xml:space="preserve">03</w:t>
            </w:r>
          </w:p>
        </w:tc>
        <w:tc>
          <w:tcPr/>
          <w:p>
            <w:pPr>
              <w:pStyle w:val="Compact"/>
              <w:jc w:val="left"/>
            </w:pPr>
            <w:r>
              <w:t xml:space="preserve">High-Precision Analytical Balance (0.0001g), calibrated for laboratory use in Russia Moscow</w:t>
            </w:r>
          </w:p>
        </w:tc>
        <w:tc>
          <w:tcPr/>
          <w:p>
            <w:pPr>
              <w:pStyle w:val="Compact"/>
              <w:jc w:val="left"/>
            </w:pPr>
            <w:r>
              <w:t xml:space="preserve">4</w:t>
            </w:r>
          </w:p>
        </w:tc>
        <w:tc>
          <w:tcPr/>
          <w:p>
            <w:pPr>
              <w:pStyle w:val="Compact"/>
              <w:jc w:val="left"/>
            </w:pPr>
            <w:r>
              <w:t xml:space="preserve">185,000.00</w:t>
            </w:r>
          </w:p>
        </w:tc>
        <w:tc>
          <w:tcPr/>
          <w:p>
            <w:pPr>
              <w:pStyle w:val="Compact"/>
              <w:jc w:val="left"/>
            </w:pPr>
            <w:r>
              <w:t xml:space="preserve">740,000.00</w:t>
            </w:r>
          </w:p>
        </w:tc>
      </w:tr>
      <w:tr>
        <w:tc>
          <w:tcPr/>
          <w:p>
            <w:pPr>
              <w:pStyle w:val="Compact"/>
              <w:jc w:val="left"/>
            </w:pPr>
            <w:r>
              <w:t xml:space="preserve">04</w:t>
            </w:r>
          </w:p>
        </w:tc>
        <w:tc>
          <w:tcPr/>
          <w:p>
            <w:pPr>
              <w:pStyle w:val="Compact"/>
              <w:jc w:val="left"/>
            </w:pPr>
            <w:r>
              <w:t xml:space="preserve">Ultra-Pure Nitrogen Gas Supply System (500L tank with regulator and manifold)</w:t>
            </w:r>
          </w:p>
        </w:tc>
        <w:tc>
          <w:tcPr/>
          <w:p>
            <w:pPr>
              <w:pStyle w:val="Compact"/>
              <w:jc w:val="left"/>
            </w:pPr>
            <w:r>
              <w:t xml:space="preserve">2</w:t>
            </w:r>
          </w:p>
        </w:tc>
        <w:tc>
          <w:tcPr/>
          <w:p>
            <w:pPr>
              <w:pStyle w:val="Compact"/>
              <w:jc w:val="left"/>
            </w:pPr>
            <w:r>
              <w:t xml:space="preserve">320,000.00</w:t>
            </w:r>
          </w:p>
        </w:tc>
        <w:tc>
          <w:tcPr/>
          <w:p>
            <w:pPr>
              <w:pStyle w:val="Compact"/>
              <w:jc w:val="left"/>
            </w:pPr>
            <w:r>
              <w:t xml:space="preserve">640,000.00</w:t>
            </w:r>
          </w:p>
        </w:tc>
      </w:tr>
      <w:tr>
        <w:tc>
          <w:tcPr/>
          <w:p>
            <w:pPr>
              <w:pStyle w:val="Compact"/>
              <w:jc w:val="left"/>
            </w:pPr>
            <w:r>
              <w:t xml:space="preserve">05</w:t>
            </w:r>
          </w:p>
        </w:tc>
        <w:tc>
          <w:tcPr/>
          <w:p>
            <w:pPr>
              <w:pStyle w:val="Compact"/>
              <w:jc w:val="left"/>
            </w:pPr>
            <w:r>
              <w:t xml:space="preserve">Thermal Analysis Station (DSC/TGA combined), for Academic Researcher thermal characterization studies</w:t>
            </w:r>
          </w:p>
        </w:tc>
        <w:tc>
          <w:tcPr/>
          <w:p>
            <w:pPr>
              <w:pStyle w:val="Compact"/>
              <w:jc w:val="left"/>
            </w:pPr>
            <w:r>
              <w:t xml:space="preserve">1</w:t>
            </w:r>
          </w:p>
        </w:tc>
        <w:tc>
          <w:tcPr/>
          <w:p>
            <w:pPr>
              <w:pStyle w:val="Compact"/>
              <w:jc w:val="left"/>
            </w:pPr>
            <w:r>
              <w:t xml:space="preserve">2,150,000.00</w:t>
            </w:r>
          </w:p>
        </w:tc>
        <w:tc>
          <w:tcPr/>
          <w:p>
            <w:pPr>
              <w:pStyle w:val="Compact"/>
              <w:jc w:val="left"/>
            </w:pPr>
            <w:r>
              <w:t xml:space="preserve">2,150,000.00</w:t>
            </w:r>
          </w:p>
        </w:tc>
      </w:tr>
      <w:tr>
        <w:tc>
          <w:tcPr/>
          <w:p>
            <w:pPr>
              <w:pStyle w:val="Compact"/>
              <w:jc w:val="left"/>
            </w:pPr>
            <w:r>
              <w:t xml:space="preserve">06</w:t>
            </w:r>
          </w:p>
        </w:tc>
        <w:tc>
          <w:tcPr/>
          <w:p>
            <w:pPr>
              <w:pStyle w:val="Compact"/>
              <w:jc w:val="left"/>
            </w:pPr>
            <w:r>
              <w:t xml:space="preserve">Specialized Laboratory Software License (5-year subscription, multi-user, 10 seats)</w:t>
            </w:r>
          </w:p>
        </w:tc>
        <w:tc>
          <w:tcPr/>
          <w:p>
            <w:pPr>
              <w:pStyle w:val="Compact"/>
              <w:jc w:val="left"/>
            </w:pPr>
            <w:r>
              <w:t xml:space="preserve">1</w:t>
            </w:r>
          </w:p>
        </w:tc>
        <w:tc>
          <w:tcPr/>
          <w:p>
            <w:pPr>
              <w:pStyle w:val="Compact"/>
              <w:jc w:val="left"/>
            </w:pPr>
            <w:r>
              <w:t xml:space="preserve">480,000.00</w:t>
            </w:r>
          </w:p>
        </w:tc>
        <w:tc>
          <w:tcPr/>
          <w:p>
            <w:pPr>
              <w:pStyle w:val="Compact"/>
              <w:jc w:val="left"/>
            </w:pPr>
            <w:r>
              <w:t xml:space="preserve">480,000.00</w:t>
            </w:r>
          </w:p>
        </w:tc>
      </w:tr>
      <w:tr>
        <w:tc>
          <w:tcPr/>
          <w:p>
            <w:pPr>
              <w:pStyle w:val="Compact"/>
              <w:jc w:val="left"/>
            </w:pPr>
            <w:r>
              <w:t xml:space="preserve">07</w:t>
            </w:r>
          </w:p>
        </w:tc>
        <w:tc>
          <w:tcPr/>
          <w:p>
            <w:pPr>
              <w:pStyle w:val="Compact"/>
              <w:jc w:val="left"/>
            </w:pPr>
            <w:r>
              <w:t xml:space="preserve">Consumable Materials Package (sputtering targets, sample holders, vacuum grease, filters) – 12-month supply</w:t>
            </w:r>
          </w:p>
        </w:tc>
        <w:tc>
          <w:tcPr/>
          <w:p>
            <w:pPr>
              <w:pStyle w:val="Compact"/>
              <w:jc w:val="left"/>
            </w:pPr>
            <w:r>
              <w:t xml:space="preserve">1</w:t>
            </w:r>
          </w:p>
        </w:tc>
        <w:tc>
          <w:tcPr/>
          <w:p>
            <w:pPr>
              <w:pStyle w:val="Compact"/>
              <w:jc w:val="left"/>
            </w:pPr>
            <w:r>
              <w:t xml:space="preserve">395,000.00</w:t>
            </w:r>
          </w:p>
        </w:tc>
        <w:tc>
          <w:tcPr/>
          <w:p>
            <w:pPr>
              <w:pStyle w:val="Compact"/>
              <w:jc w:val="left"/>
            </w:pPr>
            <w:r>
              <w:t xml:space="preserve">395,000.00</w:t>
            </w:r>
          </w:p>
        </w:tc>
      </w:tr>
      <w:tr>
        <w:tc>
          <w:tcPr/>
          <w:p>
            <w:pPr>
              <w:pStyle w:val="Compact"/>
              <w:jc w:val="left"/>
            </w:pPr>
            <w:r>
              <w:t xml:space="preserve">08</w:t>
            </w:r>
          </w:p>
        </w:tc>
        <w:tc>
          <w:tcPr/>
          <w:p>
            <w:pPr>
              <w:pStyle w:val="Compact"/>
              <w:jc w:val="left"/>
            </w:pPr>
            <w:r>
              <w:t xml:space="preserve">Installation, Calibration, and Training Services for Academic Researcher and laboratory staff (on-site, Moscow)</w:t>
            </w:r>
          </w:p>
        </w:tc>
        <w:tc>
          <w:tcPr/>
          <w:p>
            <w:pPr>
              <w:pStyle w:val="Compact"/>
              <w:jc w:val="left"/>
            </w:pPr>
            <w:r>
              <w:t xml:space="preserve">1</w:t>
            </w:r>
          </w:p>
        </w:tc>
        <w:tc>
          <w:tcPr/>
          <w:p>
            <w:pPr>
              <w:pStyle w:val="Compact"/>
              <w:jc w:val="left"/>
            </w:pPr>
            <w:r>
              <w:t xml:space="preserve">520,000.00</w:t>
            </w:r>
          </w:p>
        </w:tc>
        <w:tc>
          <w:tcPr/>
          <w:p>
            <w:pPr>
              <w:pStyle w:val="Compact"/>
              <w:jc w:val="left"/>
            </w:pPr>
            <w:r>
              <w:t xml:space="preserve">520,000.00</w:t>
            </w:r>
          </w:p>
        </w:tc>
      </w:tr>
      <w:tr>
        <w:tc>
          <w:tcPr>
            <w:gridSpan w:val="4"/>
          </w:tcPr>
          <w:p>
            <w:pPr>
              <w:pStyle w:val="Compact"/>
              <w:jc w:val="right"/>
            </w:pPr>
            <w:r>
              <w:t xml:space="preserve">SUBTOTAL</w:t>
            </w:r>
          </w:p>
        </w:tc>
        <w:tc>
          <w:tcPr/>
          <w:p>
            <w:pPr>
              <w:pStyle w:val="Compact"/>
              <w:jc w:val="left"/>
            </w:pPr>
            <w:r>
              <w:t xml:space="preserve">13,975,000.00</w:t>
            </w:r>
          </w:p>
        </w:tc>
      </w:tr>
      <w:tr>
        <w:tc>
          <w:tcPr>
            <w:gridSpan w:val="4"/>
          </w:tcPr>
          <w:p>
            <w:pPr>
              <w:pStyle w:val="Compact"/>
              <w:jc w:val="right"/>
            </w:pPr>
            <w:r>
              <w:t xml:space="preserve">VAT (20%)</w:t>
            </w:r>
          </w:p>
        </w:tc>
        <w:tc>
          <w:tcPr/>
          <w:p>
            <w:pPr>
              <w:pStyle w:val="Compact"/>
              <w:jc w:val="left"/>
            </w:pPr>
            <w:r>
              <w:t xml:space="preserve">2,795,000.00</w:t>
            </w:r>
          </w:p>
        </w:tc>
      </w:tr>
      <w:tr>
        <w:tc>
          <w:tcPr>
            <w:gridSpan w:val="4"/>
          </w:tcPr>
          <w:p>
            <w:pPr>
              <w:pStyle w:val="Compact"/>
              <w:jc w:val="right"/>
            </w:pPr>
            <w:r>
              <w:t xml:space="preserve">GRAND TOTAL (RUB)</w:t>
            </w:r>
          </w:p>
        </w:tc>
        <w:tc>
          <w:tcPr/>
          <w:p>
            <w:pPr>
              <w:pStyle w:val="Compact"/>
              <w:jc w:val="left"/>
            </w:pPr>
            <w:r>
              <w:t xml:space="preserve">16,770,000.00</w:t>
            </w:r>
          </w:p>
        </w:tc>
      </w:tr>
    </w:tbl>
    <w:bookmarkEnd w:id="25"/>
    <w:bookmarkStart w:id="26" w:name="delivery-and-installation"/>
    <w:p>
      <w:pPr>
        <w:pStyle w:val="Heading3"/>
      </w:pPr>
      <w:r>
        <w:t xml:space="preserve">Delivery and Installation</w:t>
      </w:r>
    </w:p>
    <w:p>
      <w:pPr>
        <w:pStyle w:val="FirstParagraph"/>
      </w:pPr>
      <w:r>
        <w:t xml:space="preserve">All goods specified in this</w:t>
      </w:r>
      <w:r>
        <w:t xml:space="preserve"> </w:t>
      </w:r>
      <w:r>
        <w:t xml:space="preserve">Purchase Order</w:t>
      </w:r>
      <w:r>
        <w:t xml:space="preserve"> </w:t>
      </w:r>
      <w:r>
        <w:t xml:space="preserve">shall be delivered to the Moscow State University Research Institute, Laboratory Complex B, 13 Leninskie Gory, Moscow, 119991, Russia. The vendor is responsible for all transportation, insurance, and customs clearance within the territory of</w:t>
      </w:r>
      <w:r>
        <w:t xml:space="preserve"> </w:t>
      </w:r>
      <w:r>
        <w:t xml:space="preserve">Russia Moscow</w:t>
      </w:r>
      <w:r>
        <w:t xml:space="preserve"> </w:t>
      </w:r>
      <w:r>
        <w:t xml:space="preserve">and its surrounding administrative districts. Delivery is expected no later than</w:t>
      </w:r>
      <w:r>
        <w:t xml:space="preserve"> </w:t>
      </w:r>
      <w:r>
        <w:rPr>
          <w:bCs/>
          <w:b/>
        </w:rPr>
        <w:t xml:space="preserve">March 15, 2025</w:t>
      </w:r>
      <w:r>
        <w:t xml:space="preserve">. Installation and calibration services must be completed within ten (10) business days of delivery. The designated</w:t>
      </w:r>
      <w:r>
        <w:t xml:space="preserve"> </w:t>
      </w:r>
      <w:r>
        <w:t xml:space="preserve">Academic Researcher</w:t>
      </w:r>
      <w:r>
        <w:t xml:space="preserve">, Prof. Volkov, or his authorized laboratory supervisor, must be present to sign the delivery and acceptance certificate upon completion of installation.</w:t>
      </w:r>
    </w:p>
    <w:bookmarkEnd w:id="26"/>
    <w:bookmarkStart w:id="27" w:name="payment-terms"/>
    <w:p>
      <w:pPr>
        <w:pStyle w:val="Heading3"/>
      </w:pPr>
      <w:r>
        <w:t xml:space="preserve">Payment Terms</w:t>
      </w:r>
    </w:p>
    <w:p>
      <w:pPr>
        <w:pStyle w:val="FirstParagraph"/>
      </w:pPr>
      <w:r>
        <w:t xml:space="preserve">Payment for this</w:t>
      </w:r>
      <w:r>
        <w:t xml:space="preserve"> </w:t>
      </w:r>
      <w:r>
        <w:t xml:space="preserve">Purchase Order</w:t>
      </w:r>
      <w:r>
        <w:t xml:space="preserve"> </w:t>
      </w:r>
      <w:r>
        <w:t xml:space="preserve">shall be made in Russian Rubles (RUB) via bank transfer to the vendor's designated account. The payment schedule is as follows: (a) 40% advance payment upon execution of this</w:t>
      </w:r>
      <w:r>
        <w:t xml:space="preserve"> </w:t>
      </w:r>
      <w:r>
        <w:t xml:space="preserve">Purchase Order</w:t>
      </w:r>
      <w:r>
        <w:t xml:space="preserve">; (b) 50% upon confirmed delivery and installation of all equipment at the Moscow facility; (c) 10% final payment upon successful completion of the 30-day warranty acceptance period. All payments are subject to the standard 15-day payment terms from the date of invoice issuance. Late payments shall incur interest at the rate of 0.05% per calendar day as stipulated under Russian Federal Law No. 44-FZ on the Contract System.</w:t>
      </w:r>
    </w:p>
    <w:bookmarkEnd w:id="27"/>
    <w:bookmarkStart w:id="28" w:name="terms-and-conditions"/>
    <w:p>
      <w:pPr>
        <w:pStyle w:val="Heading3"/>
      </w:pPr>
      <w:r>
        <w:t xml:space="preserve">Terms and Conditions</w:t>
      </w:r>
    </w:p>
    <w:p>
      <w:pPr>
        <w:numPr>
          <w:ilvl w:val="0"/>
          <w:numId w:val="1001"/>
        </w:numPr>
        <w:pStyle w:val="Compact"/>
      </w:pPr>
      <w:r>
        <w:t xml:space="preserve">This</w:t>
      </w:r>
      <w:r>
        <w:t xml:space="preserve"> </w:t>
      </w:r>
      <w:r>
        <w:t xml:space="preserve">Purchase Order</w:t>
      </w:r>
      <w:r>
        <w:t xml:space="preserve"> </w:t>
      </w:r>
      <w:r>
        <w:t xml:space="preserve">is governed by the Civil Code of the Russian Federation and applicable procurement regulations in force in</w:t>
      </w:r>
      <w:r>
        <w:t xml:space="preserve"> </w:t>
      </w:r>
      <w:r>
        <w:t xml:space="preserve">Russia Moscow</w:t>
      </w:r>
      <w:r>
        <w:t xml:space="preserve"> </w:t>
      </w:r>
      <w:r>
        <w:t xml:space="preserve">at the time of execution.</w:t>
      </w:r>
    </w:p>
    <w:p>
      <w:pPr>
        <w:numPr>
          <w:ilvl w:val="0"/>
          <w:numId w:val="1001"/>
        </w:numPr>
        <w:pStyle w:val="Compact"/>
      </w:pPr>
      <w:r>
        <w:t xml:space="preserve">All equipment must comply with GOST standards and hold valid certification for use in Russian academic and research institutions. The vendor warrants that all items are new, unused, and free from defects.</w:t>
      </w:r>
    </w:p>
    <w:p>
      <w:pPr>
        <w:numPr>
          <w:ilvl w:val="0"/>
          <w:numId w:val="1001"/>
        </w:numPr>
        <w:pStyle w:val="Compact"/>
      </w:pPr>
      <w:r>
        <w:t xml:space="preserve">The</w:t>
      </w:r>
      <w:r>
        <w:t xml:space="preserve"> </w:t>
      </w:r>
      <w:r>
        <w:t xml:space="preserve">Academic Researcher</w:t>
      </w:r>
      <w:r>
        <w:t xml:space="preserve"> </w:t>
      </w:r>
      <w:r>
        <w:t xml:space="preserve">named in this document retains the right to inspect all delivered goods prior to acceptance. Any non-conforming items must be replaced or repaired at the vendor's sole expense within 14 business days.</w:t>
      </w:r>
    </w:p>
    <w:p>
      <w:pPr>
        <w:numPr>
          <w:ilvl w:val="0"/>
          <w:numId w:val="1001"/>
        </w:numPr>
        <w:pStyle w:val="Compact"/>
      </w:pPr>
      <w:r>
        <w:t xml:space="preserve">A minimum 24-month warranty is provided on all capital equipment. The vendor shall provide on-site technical support in Moscow for the duration of the warranty period, with a maximum response time of 48 hours.</w:t>
      </w:r>
    </w:p>
    <w:p>
      <w:pPr>
        <w:numPr>
          <w:ilvl w:val="0"/>
          <w:numId w:val="1001"/>
        </w:numPr>
        <w:pStyle w:val="Compact"/>
      </w:pPr>
      <w:r>
        <w:t xml:space="preserve">The vendor shall provide comprehensive training for the</w:t>
      </w:r>
      <w:r>
        <w:t xml:space="preserve"> </w:t>
      </w:r>
      <w:r>
        <w:t xml:space="preserve">Academic Researcher</w:t>
      </w:r>
      <w:r>
        <w:t xml:space="preserve"> </w:t>
      </w:r>
      <w:r>
        <w:t xml:space="preserve">and up to six (6) additional laboratory personnel on the operation, maintenance, and safety protocols of all installed equipment.</w:t>
      </w:r>
    </w:p>
    <w:p>
      <w:pPr>
        <w:numPr>
          <w:ilvl w:val="0"/>
          <w:numId w:val="1001"/>
        </w:numPr>
        <w:pStyle w:val="Compact"/>
      </w:pPr>
      <w:r>
        <w:t xml:space="preserve">Intellectual property generated through the use of procured equipment remains the sole property of the Moscow State University Research Institute. The vendor shall not claim any rights over research outputs.</w:t>
      </w:r>
    </w:p>
    <w:p>
      <w:pPr>
        <w:numPr>
          <w:ilvl w:val="0"/>
          <w:numId w:val="1001"/>
        </w:numPr>
        <w:pStyle w:val="Compact"/>
      </w:pPr>
      <w:r>
        <w:t xml:space="preserve">Force majeure events, including but not limited to natural disasters, government sanctions, or supply chain disruptions affecting</w:t>
      </w:r>
      <w:r>
        <w:t xml:space="preserve"> </w:t>
      </w:r>
      <w:r>
        <w:t xml:space="preserve">Russia Moscow</w:t>
      </w:r>
      <w:r>
        <w:t xml:space="preserve">, shall be addressed through mutual written agreement between the parties.</w:t>
      </w:r>
    </w:p>
    <w:p>
      <w:pPr>
        <w:numPr>
          <w:ilvl w:val="0"/>
          <w:numId w:val="1001"/>
        </w:numPr>
        <w:pStyle w:val="Compact"/>
      </w:pPr>
      <w:r>
        <w:t xml:space="preserve">Disputes arising from this</w:t>
      </w:r>
      <w:r>
        <w:t xml:space="preserve"> </w:t>
      </w:r>
      <w:r>
        <w:t xml:space="preserve">Purchase Order</w:t>
      </w:r>
      <w:r>
        <w:t xml:space="preserve"> </w:t>
      </w:r>
      <w:r>
        <w:t xml:space="preserve">shall be resolved through arbitration at the Arbitration Court of the City of Moscow in accordance with the applicable procedural rules.</w:t>
      </w:r>
    </w:p>
    <w:p>
      <w:pPr>
        <w:numPr>
          <w:ilvl w:val="0"/>
          <w:numId w:val="1001"/>
        </w:numPr>
        <w:pStyle w:val="Compact"/>
      </w:pPr>
      <w:r>
        <w:t xml:space="preserve">This</w:t>
      </w:r>
      <w:r>
        <w:t xml:space="preserve"> </w:t>
      </w:r>
      <w:r>
        <w:t xml:space="preserve">Purchase Order</w:t>
      </w:r>
      <w:r>
        <w:t xml:space="preserve"> </w:t>
      </w:r>
      <w:r>
        <w:t xml:space="preserve">becomes effective upon signature by both authorized representatives and remains valid until all obligations, including warranty periods, are fully discharged.</w:t>
      </w:r>
    </w:p>
    <w:bookmarkEnd w:id="28"/>
    <w:bookmarkStart w:id="29" w:name="authorized-signatures"/>
    <w:p>
      <w:pPr>
        <w:pStyle w:val="Heading3"/>
      </w:pPr>
      <w:r>
        <w:t xml:space="preserve">Authorized Signatures</w:t>
      </w:r>
    </w:p>
    <w:p>
      <w:pPr>
        <w:pStyle w:val="FirstParagraph"/>
      </w:pPr>
      <w:r>
        <w:rPr>
          <w:bCs/>
          <w:b/>
        </w:rPr>
        <w:t xml:space="preserve">For the Purchasing Institution:</w:t>
      </w:r>
    </w:p>
    <w:p>
      <w:pPr>
        <w:pStyle w:val="BodyText"/>
      </w:pPr>
      <w:r>
        <w:t xml:space="preserve">Dr. Elena V. Petrova</w:t>
      </w:r>
    </w:p>
    <w:p>
      <w:pPr>
        <w:pStyle w:val="BodyText"/>
      </w:pPr>
      <w:r>
        <w:t xml:space="preserve">Procurement Director</w:t>
      </w:r>
    </w:p>
    <w:p>
      <w:pPr>
        <w:pStyle w:val="BodyText"/>
      </w:pPr>
      <w:r>
        <w:t xml:space="preserve">Moscow State University Research Institute</w:t>
      </w:r>
    </w:p>
    <w:p>
      <w:pPr>
        <w:pStyle w:val="BodyText"/>
      </w:pPr>
      <w:r>
        <w:t xml:space="preserve">Date: _______________</w:t>
      </w:r>
    </w:p>
    <w:p>
      <w:pPr>
        <w:pStyle w:val="BodyText"/>
      </w:pPr>
      <w:r>
        <w:rPr>
          <w:bCs/>
          <w:b/>
        </w:rPr>
        <w:t xml:space="preserve">For the Vendor / Supplier:</w:t>
      </w:r>
    </w:p>
    <w:p>
      <w:pPr>
        <w:pStyle w:val="BodyText"/>
      </w:pPr>
      <w:r>
        <w:t xml:space="preserve">Mr. Dmitry A. Sokolov</w:t>
      </w:r>
    </w:p>
    <w:p>
      <w:pPr>
        <w:pStyle w:val="BodyText"/>
      </w:pPr>
      <w:r>
        <w:t xml:space="preserve">Sales Manager</w:t>
      </w:r>
    </w:p>
    <w:p>
      <w:pPr>
        <w:pStyle w:val="BodyText"/>
      </w:pPr>
      <w:r>
        <w:t xml:space="preserve">Scientific Instruments &amp; Solutions Ltd.</w:t>
      </w:r>
    </w:p>
    <w:p>
      <w:pPr>
        <w:pStyle w:val="BodyText"/>
      </w:pPr>
      <w:r>
        <w:t xml:space="preserve">Date: _______________</w:t>
      </w:r>
    </w:p>
    <w:bookmarkEnd w:id="29"/>
    <w:bookmarkStart w:id="30" w:name="academic-researcher-acknowledgment"/>
    <w:p>
      <w:pPr>
        <w:pStyle w:val="Heading3"/>
      </w:pPr>
      <w:r>
        <w:t xml:space="preserve">Academic Researcher Acknowledgment</w:t>
      </w:r>
    </w:p>
    <w:p>
      <w:pPr>
        <w:pStyle w:val="FirstParagraph"/>
      </w:pPr>
      <w:r>
        <w:t xml:space="preserve">I, Prof. Alexander M. Volkov, PhD, in my capacity as the designated</w:t>
      </w:r>
      <w:r>
        <w:t xml:space="preserve"> </w:t>
      </w:r>
      <w:r>
        <w:t xml:space="preserve">Academic Researcher</w:t>
      </w:r>
      <w:r>
        <w:t xml:space="preserve"> </w:t>
      </w:r>
      <w:r>
        <w:t xml:space="preserve">for Project AR-2025-NANO-0114, hereby acknowledge receipt of this</w:t>
      </w:r>
      <w:r>
        <w:t xml:space="preserve"> </w:t>
      </w:r>
      <w:r>
        <w:t xml:space="preserve">Purchase Order</w:t>
      </w:r>
      <w:r>
        <w:t xml:space="preserve"> </w:t>
      </w:r>
      <w:r>
        <w:t xml:space="preserve">and confirm that the items listed therein are necessary and appropriate for the continuation of my research program at the Moscow State University Research Institute,</w:t>
      </w:r>
      <w:r>
        <w:t xml:space="preserve"> </w:t>
      </w:r>
      <w:r>
        <w:t xml:space="preserve">Russia Moscow</w:t>
      </w:r>
      <w:r>
        <w:t xml:space="preserve">. I agree to participate in the installation, calibration, and acceptance testing of all procured equipment.</w:t>
      </w:r>
    </w:p>
    <w:p>
      <w:pPr>
        <w:pStyle w:val="BodyText"/>
      </w:pPr>
      <w:r>
        <w:t xml:space="preserve">Prof. Alexander M. Volkov, PhD</w:t>
      </w:r>
    </w:p>
    <w:p>
      <w:pPr>
        <w:pStyle w:val="BodyText"/>
      </w:pPr>
      <w:r>
        <w:t xml:space="preserve">Senior Academic Researcher</w:t>
      </w:r>
    </w:p>
    <w:p>
      <w:pPr>
        <w:pStyle w:val="BodyText"/>
      </w:pPr>
      <w:r>
        <w:t xml:space="preserve">Date: _______________</w:t>
      </w:r>
    </w:p>
    <w:bookmarkEnd w:id="30"/>
    <w:p>
      <w:pPr>
        <w:pStyle w:val="BodyText"/>
      </w:pPr>
      <w:r>
        <w:t xml:space="preserve">This Purchase Order document (PO No. RU-MOW-2025-AR-04782) was prepared for the Moscow State University Research Institute, Russia Moscow. It is intended to support the operational needs of the designated Academic Researcher and associated laboratory staff. All terms are subject to the laws of the Russian Federation. Document generated: January 2025. Page 1 of 1.</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Purchase Order - Academic Researcher - Russia Moscow</dc:title>
  <dc:creator/>
  <dc:language>en</dc:language>
  <cp:keywords/>
  <dcterms:created xsi:type="dcterms:W3CDTF">2026-10-10T03:50:43Z</dcterms:created>
  <dcterms:modified xsi:type="dcterms:W3CDTF">2026-10-10T03:50:43Z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