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Academic Research Procurement Document — Saudi Arabia Jeddah</w:t>
      </w:r>
    </w:p>
    <w:p>
      <w:pPr>
        <w:pStyle w:val="BodyText"/>
      </w:pPr>
      <w:r>
        <w:t xml:space="preserve">King Abdulaziz University — Research Procurement Office</w:t>
      </w:r>
    </w:p>
    <w:bookmarkEnd w:id="20"/>
    <w:p>
      <w:pPr>
        <w:pStyle w:val="BodyText"/>
      </w:pPr>
      <w:r>
        <w:rPr>
          <w:bCs/>
          <w:b/>
        </w:rPr>
        <w:t xml:space="preserve">Purchase Order No.:</w:t>
      </w:r>
      <w:r>
        <w:t xml:space="preserve"> </w:t>
      </w:r>
      <w:r>
        <w:t xml:space="preserve">PO-KAU-JED-2025-04872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Faculty of Science &amp; Research</w:t>
      </w:r>
      <w:r>
        <w:br/>
      </w:r>
      <w:r>
        <w:rPr>
          <w:bCs/>
          <w:b/>
        </w:rPr>
        <w:t xml:space="preserve">Project Ref.:</w:t>
      </w:r>
      <w:r>
        <w:t xml:space="preserve"> </w:t>
      </w:r>
      <w:r>
        <w:t xml:space="preserve">ARS-JED-2025-114</w:t>
      </w:r>
    </w:p>
    <w:p>
      <w:pPr>
        <w:pStyle w:val="BodyText"/>
      </w:pPr>
      <w:r>
        <w:t xml:space="preserve">1. BUYER INFORMATION (Academic Researcher)</w:t>
      </w:r>
    </w:p>
    <w:bookmarkStart w:id="21" w:name="academic-researcher-details"/>
    <w:p>
      <w:pPr>
        <w:pStyle w:val="Heading3"/>
      </w:pPr>
      <w:r>
        <w:t xml:space="preserve">Academic Researcher Details</w:t>
      </w:r>
    </w:p>
    <w:p>
      <w:pPr>
        <w:pStyle w:val="FirstParagraph"/>
      </w:pPr>
      <w:r>
        <w:rPr>
          <w:bCs/>
          <w:b/>
        </w:rPr>
        <w:t xml:space="preserve">Name:</w:t>
      </w:r>
      <w:r>
        <w:t xml:space="preserve"> </w:t>
      </w:r>
      <w:r>
        <w:t xml:space="preserve">Dr. Sarah Al-Mutairi</w:t>
      </w:r>
      <w:r>
        <w:br/>
      </w:r>
      <w:r>
        <w:rPr>
          <w:bCs/>
          <w:b/>
        </w:rPr>
        <w:t xml:space="preserve">Title:</w:t>
      </w:r>
      <w:r>
        <w:t xml:space="preserve"> </w:t>
      </w:r>
      <w:r>
        <w:t xml:space="preserve">Senior Academic Researcher, Department of Molecular Biology</w:t>
      </w:r>
      <w:r>
        <w:br/>
      </w:r>
      <w:r>
        <w:rPr>
          <w:bCs/>
          <w:b/>
        </w:rPr>
        <w:t xml:space="preserve">Institution:</w:t>
      </w:r>
      <w:r>
        <w:t xml:space="preserve"> </w:t>
      </w:r>
      <w:r>
        <w:t xml:space="preserve">King Abdulaziz University</w:t>
      </w:r>
      <w:r>
        <w:br/>
      </w:r>
      <w:r>
        <w:rPr>
          <w:bCs/>
          <w:b/>
        </w:rPr>
        <w:t xml:space="preserve">Address:</w:t>
      </w:r>
      <w:r>
        <w:t xml:space="preserve"> </w:t>
      </w:r>
      <w:r>
        <w:t xml:space="preserve">P.O. Box 8040, Jeddah 21589, Saudi Arabia</w:t>
      </w:r>
      <w:r>
        <w:br/>
      </w:r>
      <w:r>
        <w:rPr>
          <w:bCs/>
          <w:b/>
        </w:rPr>
        <w:t xml:space="preserve">Phone:</w:t>
      </w:r>
      <w:r>
        <w:t xml:space="preserve"> </w:t>
      </w:r>
      <w:r>
        <w:t xml:space="preserve">+966 12 664 7788</w:t>
      </w:r>
      <w:r>
        <w:br/>
      </w:r>
      <w:r>
        <w:rPr>
          <w:bCs/>
          <w:b/>
        </w:rPr>
        <w:t xml:space="preserve">Email:</w:t>
      </w:r>
      <w:r>
        <w:t xml:space="preserve"> </w:t>
      </w:r>
      <w:r>
        <w:t xml:space="preserve">s.almutairi@kau.edu.sa</w:t>
      </w:r>
      <w:r>
        <w:br/>
      </w:r>
      <w:r>
        <w:rPr>
          <w:bCs/>
          <w:b/>
        </w:rPr>
        <w:t xml:space="preserve">CR Number:</w:t>
      </w:r>
      <w:r>
        <w:t xml:space="preserve"> </w:t>
      </w:r>
      <w:r>
        <w:t xml:space="preserve">1098765432</w:t>
      </w:r>
    </w:p>
    <w:bookmarkEnd w:id="21"/>
    <w:bookmarkStart w:id="22" w:name="supplier-details"/>
    <w:p>
      <w:pPr>
        <w:pStyle w:val="Heading3"/>
      </w:pPr>
      <w:r>
        <w:t xml:space="preserve">Supplier Details</w:t>
      </w:r>
    </w:p>
    <w:p>
      <w:pPr>
        <w:pStyle w:val="FirstParagraph"/>
      </w:pPr>
      <w:r>
        <w:rPr>
          <w:bCs/>
          <w:b/>
        </w:rPr>
        <w:t xml:space="preserve">Company:</w:t>
      </w:r>
      <w:r>
        <w:t xml:space="preserve"> </w:t>
      </w:r>
      <w:r>
        <w:t xml:space="preserve">Gulf Scientific Instruments Co. Ltd.</w:t>
      </w:r>
      <w:r>
        <w:br/>
      </w:r>
      <w:r>
        <w:rPr>
          <w:bCs/>
          <w:b/>
        </w:rPr>
        <w:t xml:space="preserve">Address:</w:t>
      </w:r>
      <w:r>
        <w:t xml:space="preserve"> </w:t>
      </w:r>
      <w:r>
        <w:t xml:space="preserve">Al-Rawdah District, Jeddah 23412, Saudi Arabia</w:t>
      </w:r>
      <w:r>
        <w:br/>
      </w:r>
      <w:r>
        <w:rPr>
          <w:bCs/>
          <w:b/>
        </w:rPr>
        <w:t xml:space="preserve">Commercial Registration:</w:t>
      </w:r>
      <w:r>
        <w:t xml:space="preserve"> </w:t>
      </w:r>
      <w:r>
        <w:t xml:space="preserve">1010456789</w:t>
      </w:r>
      <w:r>
        <w:br/>
      </w:r>
      <w:r>
        <w:rPr>
          <w:bCs/>
          <w:b/>
        </w:rPr>
        <w:t xml:space="preserve">VAT Number:</w:t>
      </w:r>
      <w:r>
        <w:t xml:space="preserve"> </w:t>
      </w:r>
      <w:r>
        <w:t xml:space="preserve">310123456700003</w:t>
      </w:r>
      <w:r>
        <w:br/>
      </w:r>
      <w:r>
        <w:rPr>
          <w:bCs/>
          <w:b/>
        </w:rPr>
        <w:t xml:space="preserve">Phone:</w:t>
      </w:r>
      <w:r>
        <w:t xml:space="preserve"> </w:t>
      </w:r>
      <w:r>
        <w:t xml:space="preserve">+966 12 555 3344</w:t>
      </w:r>
      <w:r>
        <w:br/>
      </w:r>
      <w:r>
        <w:rPr>
          <w:bCs/>
          <w:b/>
        </w:rPr>
        <w:t xml:space="preserve">Email:</w:t>
      </w:r>
      <w:r>
        <w:t xml:space="preserve"> </w:t>
      </w:r>
      <w:r>
        <w:t xml:space="preserve">sales@gulfsci-sa.com</w:t>
      </w:r>
      <w:r>
        <w:br/>
      </w:r>
      <w:r>
        <w:rPr>
          <w:bCs/>
          <w:b/>
        </w:rPr>
        <w:t xml:space="preserve">IBAN:</w:t>
      </w:r>
      <w:r>
        <w:t xml:space="preserve"> </w:t>
      </w:r>
      <w:r>
        <w:t xml:space="preserve">SA03 8000 0000 6080 1016 7519</w:t>
      </w:r>
    </w:p>
    <w:bookmarkEnd w:id="22"/>
    <w:p>
      <w:pPr>
        <w:pStyle w:val="BodyText"/>
      </w:pPr>
      <w:r>
        <w:t xml:space="preserve">2. 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High-Performance Liquid Chromatography (HPLC) System, Model Agilent 1260 Infinity II, for use by the Academic Researcher in molecular analysis laboratory</w:t>
            </w:r>
          </w:p>
        </w:tc>
        <w:tc>
          <w:tcPr/>
          <w:p>
            <w:pPr>
              <w:pStyle w:val="Compact"/>
              <w:jc w:val="left"/>
            </w:pPr>
            <w:r>
              <w:t xml:space="preserve">GS-HP-1260</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Real-Time PCR Thermal Cycler, Applied Biosystems QuantStudio 5, for genomic research conducted by the Academic Researcher</w:t>
            </w:r>
          </w:p>
        </w:tc>
        <w:tc>
          <w:tcPr/>
          <w:p>
            <w:pPr>
              <w:pStyle w:val="Compact"/>
              <w:jc w:val="left"/>
            </w:pPr>
            <w:r>
              <w:t xml:space="preserve">GS-RT-5001</w:t>
            </w:r>
          </w:p>
        </w:tc>
        <w:tc>
          <w:tcPr/>
          <w:p>
            <w:pPr>
              <w:pStyle w:val="Compact"/>
              <w:jc w:val="left"/>
            </w:pPr>
            <w:r>
              <w:t xml:space="preserve">2</w:t>
            </w:r>
          </w:p>
        </w:tc>
        <w:tc>
          <w:tcPr/>
          <w:p>
            <w:pPr>
              <w:pStyle w:val="Compact"/>
              <w:jc w:val="left"/>
            </w:pPr>
            <w:r>
              <w:t xml:space="preserve">92,500.00</w:t>
            </w:r>
          </w:p>
        </w:tc>
        <w:tc>
          <w:tcPr/>
          <w:p>
            <w:pPr>
              <w:pStyle w:val="Compact"/>
              <w:jc w:val="left"/>
            </w:pPr>
            <w:r>
              <w:t xml:space="preserve">185,000.00</w:t>
            </w:r>
          </w:p>
        </w:tc>
        <w:tc>
          <w:tcPr/>
          <w:p>
            <w:pPr>
              <w:pStyle w:val="Compact"/>
              <w:jc w:val="left"/>
            </w:pPr>
            <w:r>
              <w:t xml:space="preserve">30 days</w:t>
            </w:r>
          </w:p>
        </w:tc>
      </w:tr>
      <w:tr>
        <w:tc>
          <w:tcPr/>
          <w:p>
            <w:pPr>
              <w:pStyle w:val="Compact"/>
              <w:jc w:val="left"/>
            </w:pPr>
            <w:r>
              <w:t xml:space="preserve">3</w:t>
            </w:r>
          </w:p>
        </w:tc>
        <w:tc>
          <w:tcPr/>
          <w:p>
            <w:pPr>
              <w:pStyle w:val="Compact"/>
              <w:jc w:val="left"/>
            </w:pPr>
            <w:r>
              <w:t xml:space="preserve">Ultra-Cold Freezer, Thermo Fisher Scientific -80°C, 400L capacity, for biological sample storage in Saudi Arabia Jeddah laboratory</w:t>
            </w:r>
          </w:p>
        </w:tc>
        <w:tc>
          <w:tcPr/>
          <w:p>
            <w:pPr>
              <w:pStyle w:val="Compact"/>
              <w:jc w:val="left"/>
            </w:pPr>
            <w:r>
              <w:t xml:space="preserve">GS-UC-4008</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45 days</w:t>
            </w:r>
          </w:p>
        </w:tc>
      </w:tr>
      <w:tr>
        <w:tc>
          <w:tcPr/>
          <w:p>
            <w:pPr>
              <w:pStyle w:val="Compact"/>
              <w:jc w:val="left"/>
            </w:pPr>
            <w:r>
              <w:t xml:space="preserve">4</w:t>
            </w:r>
          </w:p>
        </w:tc>
        <w:tc>
          <w:tcPr/>
          <w:p>
            <w:pPr>
              <w:pStyle w:val="Compact"/>
              <w:jc w:val="left"/>
            </w:pPr>
            <w:r>
              <w:t xml:space="preserve">Lab-grade Chemical Reagents Package (Yearly Supply) including buffers, solvents, and enzyme kits for the Academic Researcher's ongoing studies</w:t>
            </w:r>
          </w:p>
        </w:tc>
        <w:tc>
          <w:tcPr/>
          <w:p>
            <w:pPr>
              <w:pStyle w:val="Compact"/>
              <w:jc w:val="left"/>
            </w:pPr>
            <w:r>
              <w:t xml:space="preserve">GS-CR-2025</w:t>
            </w:r>
          </w:p>
        </w:tc>
        <w:tc>
          <w:tcPr/>
          <w:p>
            <w:pPr>
              <w:pStyle w:val="Compact"/>
              <w:jc w:val="left"/>
            </w:pPr>
            <w:r>
              <w:t xml:space="preserve">1</w:t>
            </w:r>
          </w:p>
        </w:tc>
        <w:tc>
          <w:tcPr/>
          <w:p>
            <w:pPr>
              <w:pStyle w:val="Compact"/>
              <w:jc w:val="left"/>
            </w:pPr>
            <w:r>
              <w:t xml:space="preserve">45,750.00</w:t>
            </w:r>
          </w:p>
        </w:tc>
        <w:tc>
          <w:tcPr/>
          <w:p>
            <w:pPr>
              <w:pStyle w:val="Compact"/>
              <w:jc w:val="left"/>
            </w:pPr>
            <w:r>
              <w:t xml:space="preserve">45,750.00</w:t>
            </w:r>
          </w:p>
        </w:tc>
        <w:tc>
          <w:tcPr/>
          <w:p>
            <w:pPr>
              <w:pStyle w:val="Compact"/>
              <w:jc w:val="left"/>
            </w:pPr>
            <w:r>
              <w:t xml:space="preserve">14 days</w:t>
            </w:r>
          </w:p>
        </w:tc>
      </w:tr>
      <w:tr>
        <w:tc>
          <w:tcPr/>
          <w:p>
            <w:pPr>
              <w:pStyle w:val="Compact"/>
              <w:jc w:val="left"/>
            </w:pPr>
            <w:r>
              <w:t xml:space="preserve">5</w:t>
            </w:r>
          </w:p>
        </w:tc>
        <w:tc>
          <w:tcPr/>
          <w:p>
            <w:pPr>
              <w:pStyle w:val="Compact"/>
              <w:jc w:val="left"/>
            </w:pPr>
            <w:r>
              <w:t xml:space="preserve">Installation, Calibration, and Training Services for all equipment listed above, to be performed at the King Abdulaziz University campus in Jeddah, Saudi Arabia</w:t>
            </w:r>
          </w:p>
        </w:tc>
        <w:tc>
          <w:tcPr/>
          <w:p>
            <w:pPr>
              <w:pStyle w:val="Compact"/>
              <w:jc w:val="left"/>
            </w:pPr>
            <w:r>
              <w:t xml:space="preserve">GS-SV-INST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60 days</w:t>
            </w:r>
          </w:p>
        </w:tc>
      </w:tr>
      <w:tr>
        <w:tc>
          <w:tcPr/>
          <w:p>
            <w:pPr>
              <w:pStyle w:val="Compact"/>
              <w:jc w:val="left"/>
            </w:pPr>
            <w:r>
              <w:t xml:space="preserve">6</w:t>
            </w:r>
          </w:p>
        </w:tc>
        <w:tc>
          <w:tcPr/>
          <w:p>
            <w:pPr>
              <w:pStyle w:val="Compact"/>
              <w:jc w:val="left"/>
            </w:pPr>
            <w:r>
              <w:t xml:space="preserve">Annual Maintenance and Support Contract (3-year term) for all purchased instruments, including on-site service in Saudi Arabia Jeddah</w:t>
            </w:r>
          </w:p>
        </w:tc>
        <w:tc>
          <w:tcPr/>
          <w:p>
            <w:pPr>
              <w:pStyle w:val="Compact"/>
              <w:jc w:val="left"/>
            </w:pPr>
            <w:r>
              <w:t xml:space="preserve">GS-MT-3YR</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c>
          <w:tcPr/>
          <w:p>
            <w:pPr>
              <w:pStyle w:val="Compact"/>
              <w:jc w:val="left"/>
            </w:pPr>
            <w:r>
              <w:t xml:space="preserve">N/A</w:t>
            </w:r>
          </w:p>
        </w:tc>
      </w:tr>
      <w:tr>
        <w:tc>
          <w:tcPr/>
          <w:p>
            <w:pPr>
              <w:pStyle w:val="Compact"/>
              <w:jc w:val="left"/>
            </w:pPr>
            <w:r>
              <w:t xml:space="preserve">7</w:t>
            </w:r>
          </w:p>
        </w:tc>
        <w:tc>
          <w:tcPr/>
          <w:p>
            <w:pPr>
              <w:pStyle w:val="Compact"/>
              <w:jc w:val="left"/>
            </w:pPr>
            <w:r>
              <w:t xml:space="preserve">Custom Data Analysis Software License (5-user academic license) for the Academic Researcher's laboratory team</w:t>
            </w:r>
          </w:p>
        </w:tc>
        <w:tc>
          <w:tcPr/>
          <w:p>
            <w:pPr>
              <w:pStyle w:val="Compact"/>
              <w:jc w:val="left"/>
            </w:pPr>
            <w:r>
              <w:t xml:space="preserve">GS-SW-DATA</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7 days</w:t>
            </w:r>
          </w:p>
        </w:tc>
      </w:tr>
      <w:tr>
        <w:tc>
          <w:tcPr>
            <w:gridSpan w:val="5"/>
          </w:tcPr>
          <w:p>
            <w:pPr>
              <w:pStyle w:val="Compact"/>
              <w:jc w:val="right"/>
            </w:pPr>
            <w:r>
              <w:t xml:space="preserve">Subtotal:</w:t>
            </w:r>
          </w:p>
        </w:tc>
        <w:tc>
          <w:tcPr/>
          <w:p>
            <w:pPr>
              <w:pStyle w:val="Compact"/>
              <w:jc w:val="left"/>
            </w:pPr>
            <w:r>
              <w:t xml:space="preserve">598,250.00</w:t>
            </w:r>
          </w:p>
        </w:tc>
        <w:tc>
          <w:tcPr/>
          <w:p>
            <w:pPr>
              <w:pStyle w:val="Compact"/>
            </w:pPr>
          </w:p>
        </w:tc>
      </w:tr>
      <w:tr>
        <w:tc>
          <w:tcPr>
            <w:gridSpan w:val="5"/>
          </w:tcPr>
          <w:p>
            <w:pPr>
              <w:pStyle w:val="Compact"/>
              <w:jc w:val="right"/>
            </w:pPr>
            <w:r>
              <w:t xml:space="preserve">VAT (15%):</w:t>
            </w:r>
          </w:p>
        </w:tc>
        <w:tc>
          <w:tcPr/>
          <w:p>
            <w:pPr>
              <w:pStyle w:val="Compact"/>
              <w:jc w:val="left"/>
            </w:pPr>
            <w:r>
              <w:t xml:space="preserve">89,737.50</w:t>
            </w:r>
          </w:p>
        </w:tc>
        <w:tc>
          <w:tcPr/>
          <w:p>
            <w:pPr>
              <w:pStyle w:val="Compact"/>
            </w:pPr>
          </w:p>
        </w:tc>
      </w:tr>
      <w:tr>
        <w:tc>
          <w:tcPr>
            <w:gridSpan w:val="5"/>
          </w:tcPr>
          <w:p>
            <w:pPr>
              <w:pStyle w:val="Compact"/>
              <w:jc w:val="right"/>
            </w:pPr>
            <w:r>
              <w:t xml:space="preserve">Grand Total (SAR):</w:t>
            </w:r>
          </w:p>
        </w:tc>
        <w:tc>
          <w:tcPr/>
          <w:p>
            <w:pPr>
              <w:pStyle w:val="Compact"/>
              <w:jc w:val="left"/>
            </w:pPr>
            <w:r>
              <w:t xml:space="preserve">687,987.50</w:t>
            </w:r>
          </w:p>
        </w:tc>
        <w:tc>
          <w:tcPr/>
          <w:p>
            <w:pPr>
              <w:pStyle w:val="Compact"/>
            </w:pPr>
          </w:p>
        </w:tc>
      </w:tr>
    </w:tbl>
    <w:p>
      <w:pPr>
        <w:pStyle w:val="BodyText"/>
      </w:pPr>
      <w:r>
        <w:t xml:space="preserve">3. TERMS AND CONDITIONS</w:t>
      </w:r>
    </w:p>
    <w:p>
      <w:pPr>
        <w:pStyle w:val="BodyText"/>
      </w:pPr>
      <w:r>
        <w:rPr>
          <w:bCs/>
          <w:b/>
        </w:rPr>
        <w:t xml:space="preserve">3.1</w:t>
      </w:r>
      <w:r>
        <w:t xml:space="preserve"> </w:t>
      </w:r>
      <w:r>
        <w:t xml:space="preserve">This Purchase Order is issued by the undersigned Academic Researcher, Dr. Sarah Al-Mutairi, acting under the authority of the Research Procurement Office at King Abdulaziz University, Jeddah, Saudi Arabia. All transactions governed by this Purchase Order shall comply with the laws of the Kingdom of Saudi Arabia, including the Saudi Commercial Transactions Law and the Value Added Tax regulations issued by the Zakat, Tax and Customs Authority (ZATCA).</w:t>
      </w:r>
    </w:p>
    <w:p>
      <w:pPr>
        <w:pStyle w:val="BodyText"/>
      </w:pPr>
      <w:r>
        <w:rPr>
          <w:bCs/>
          <w:b/>
        </w:rPr>
        <w:t xml:space="preserve">3.2</w:t>
      </w:r>
      <w:r>
        <w:t xml:space="preserve"> </w:t>
      </w:r>
      <w:r>
        <w:t xml:space="preserve">The supplier, Gulf Scientific Instruments Co. Ltd., acknowledges and accepts all terms set forth in this Purchase Order. All goods and services shall be delivered to the designated laboratory facility at King Abdulaziz University, Al-Rawdah District, Jeddah, Saudi Arabia. The supplier is responsible for all shipping, insurance, and customs clearance costs within Saudi Arabia Jeddah.</w:t>
      </w:r>
    </w:p>
    <w:p>
      <w:pPr>
        <w:pStyle w:val="BodyText"/>
      </w:pPr>
      <w:r>
        <w:rPr>
          <w:bCs/>
          <w:b/>
        </w:rPr>
        <w:t xml:space="preserve">3.3</w:t>
      </w:r>
      <w:r>
        <w:t xml:space="preserve"> </w:t>
      </w:r>
      <w:r>
        <w:t xml:space="preserve">Payment terms: Net 60 days from the date of confirmed delivery and acceptance of goods by the Academic Researcher. Payment shall be made via bank transfer to the IBAN specified in Section 1. A 10% retention shall be withheld until the completion of all installation and training services outlined in Line Item 5.</w:t>
      </w:r>
    </w:p>
    <w:p>
      <w:pPr>
        <w:pStyle w:val="BodyText"/>
      </w:pPr>
      <w:r>
        <w:rPr>
          <w:bCs/>
          <w:b/>
        </w:rPr>
        <w:t xml:space="preserve">3.4</w:t>
      </w:r>
      <w:r>
        <w:t xml:space="preserve"> </w:t>
      </w:r>
      <w:r>
        <w:t xml:space="preserve">The Academic Researcher reserves the right to inspect all delivered equipment upon arrival at the Jeddah campus. Any defects, discrepancies, or non-conformities must be reported within seven (7) business days of delivery. The supplier shall replace or repair defective items at no additional cost within fourteen (14) business days of notification.</w:t>
      </w:r>
    </w:p>
    <w:p>
      <w:pPr>
        <w:pStyle w:val="BodyText"/>
      </w:pPr>
      <w:r>
        <w:rPr>
          <w:bCs/>
          <w:b/>
        </w:rPr>
        <w:t xml:space="preserve">3.5</w:t>
      </w:r>
      <w:r>
        <w:t xml:space="preserve"> </w:t>
      </w:r>
      <w:r>
        <w:t xml:space="preserve">All equipment must carry a minimum two-year manufacturer's warranty, in addition to the three-year maintenance contract specified in Line Item 6. The supplier guarantees that all instruments are new, unused, and in full compliance with Saudi Standards, Metrology and Quality Organization (SASO) requirements.</w:t>
      </w:r>
    </w:p>
    <w:p>
      <w:pPr>
        <w:pStyle w:val="BodyText"/>
      </w:pPr>
      <w:r>
        <w:rPr>
          <w:bCs/>
          <w:b/>
        </w:rPr>
        <w:t xml:space="preserve">3.6</w:t>
      </w:r>
      <w:r>
        <w:t xml:space="preserve"> </w:t>
      </w:r>
      <w:r>
        <w:t xml:space="preserve">This Purchase Order shall not be considered valid or binding until signed and stamped by both the Academic Researcher (or authorized university procurement officer) and the designated representative of the supplier. Any amendments to this Purchase Order must be made in writing and signed by both parties.</w:t>
      </w:r>
    </w:p>
    <w:p>
      <w:pPr>
        <w:pStyle w:val="BodyText"/>
      </w:pPr>
      <w:r>
        <w:rPr>
          <w:bCs/>
          <w:b/>
        </w:rPr>
        <w:t xml:space="preserve">3.7</w:t>
      </w:r>
      <w:r>
        <w:t xml:space="preserve"> </w:t>
      </w:r>
      <w:r>
        <w:t xml:space="preserve">In the event of a dispute arising from this Purchase Order, both parties agree to first attempt resolution through good-faith negotiation. Should negotiation fail, the dispute shall be referred to the competent courts in Jeddah, Saudi Arabia, and governed exclusively by the laws of the Kingdom of Saudi Arabia.</w:t>
      </w:r>
    </w:p>
    <w:p>
      <w:pPr>
        <w:pStyle w:val="BodyText"/>
      </w:pPr>
      <w:r>
        <w:rPr>
          <w:bCs/>
          <w:b/>
        </w:rPr>
        <w:t xml:space="preserve">3.8</w:t>
      </w:r>
      <w:r>
        <w:t xml:space="preserve"> </w:t>
      </w:r>
      <w:r>
        <w:t xml:space="preserve">The supplier shall provide all necessary documentation, including certificates of origin, test reports, user manuals in Arabic and English, and compliance certificates, to the Academic Researcher at the time of delivery in Saudi Arabia Jeddah.</w:t>
      </w:r>
    </w:p>
    <w:p>
      <w:pPr>
        <w:pStyle w:val="BodyText"/>
      </w:pPr>
      <w:r>
        <w:t xml:space="preserve">4. DELIVERY AND LOGISTICS</w:t>
      </w:r>
    </w:p>
    <w:p>
      <w:pPr>
        <w:pStyle w:val="BodyText"/>
      </w:pPr>
      <w:r>
        <w:t xml:space="preserve">All items shall be delivered to: King Abdulaziz University, Faculty of Science, Building 4, Laboratory Wing, P.O. Box 8040, Jeddah 21589, Saudi Arabia. Delivery contact: Dr. Sarah Al-Mutairi, Academic Researcher, Phone: +966 12 664 7788. The supplier must coordinate delivery scheduling with the university's facilities management team at least five (5) business days in advance. All heavy equipment (items 1, 2, and 3) shall be delivered using the university's designated loading dock on the east side of Building 4. The supplier is responsible for all lifting, positioning, and initial power connection within the laboratory space in Saudi Arabia Jeddah.</w:t>
      </w:r>
    </w:p>
    <w:p>
      <w:pPr>
        <w:pStyle w:val="BodyText"/>
      </w:pPr>
      <w:r>
        <w:t xml:space="preserve">5. AUTHORIZATION AND SIGNATURES</w:t>
      </w:r>
    </w:p>
    <w:p>
      <w:pPr>
        <w:pStyle w:val="BodyText"/>
      </w:pPr>
      <w:r>
        <w:rPr>
          <w:bCs/>
          <w:b/>
        </w:rPr>
        <w:t xml:space="preserve">Prepared by (Academic Researcher):</w:t>
      </w:r>
    </w:p>
    <w:p>
      <w:pPr>
        <w:pStyle w:val="BodyText"/>
      </w:pPr>
      <w:r>
        <w:t xml:space="preserve">Dr. Sarah Al-Mutairi</w:t>
      </w:r>
      <w:r>
        <w:br/>
      </w:r>
      <w:r>
        <w:t xml:space="preserve">Senior Academic Researcher</w:t>
      </w:r>
      <w:r>
        <w:br/>
      </w:r>
      <w:r>
        <w:t xml:space="preserve">Date: 15/06/2025</w:t>
      </w:r>
    </w:p>
    <w:p>
      <w:pPr>
        <w:pStyle w:val="BodyText"/>
      </w:pPr>
      <w:r>
        <w:rPr>
          <w:bCs/>
          <w:b/>
        </w:rPr>
        <w:t xml:space="preserve">Approved by (University):</w:t>
      </w:r>
    </w:p>
    <w:p>
      <w:pPr>
        <w:pStyle w:val="BodyText"/>
      </w:pPr>
      <w:r>
        <w:t xml:space="preserve">Prof. Khalid Al-Otaibi</w:t>
      </w:r>
      <w:r>
        <w:br/>
      </w:r>
      <w:r>
        <w:t xml:space="preserve">Dean, Faculty of Science</w:t>
      </w:r>
      <w:r>
        <w:br/>
      </w:r>
      <w:r>
        <w:t xml:space="preserve">Date: 16/06/2025</w:t>
      </w:r>
    </w:p>
    <w:p>
      <w:pPr>
        <w:pStyle w:val="BodyText"/>
      </w:pPr>
      <w:r>
        <w:rPr>
          <w:bCs/>
          <w:b/>
        </w:rPr>
        <w:t xml:space="preserve">Accepted by (Supplier):</w:t>
      </w:r>
    </w:p>
    <w:p>
      <w:pPr>
        <w:pStyle w:val="BodyText"/>
      </w:pPr>
      <w:r>
        <w:t xml:space="preserve">Mr. Ahmed Al-Harbi</w:t>
      </w:r>
      <w:r>
        <w:br/>
      </w:r>
      <w:r>
        <w:t xml:space="preserve">General Manager, Gulf Scientific</w:t>
      </w:r>
      <w:r>
        <w:br/>
      </w:r>
      <w:r>
        <w:t xml:space="preserve">Date: 17/06/2025</w:t>
      </w:r>
    </w:p>
    <w:p>
      <w:pPr>
        <w:pStyle w:val="BodyText"/>
      </w:pPr>
      <w:r>
        <w:t xml:space="preserve">This Purchase Order (PO-KAU-JED-2025-04872) is an official procurement document issued for the use of an Academic Researcher at King Abdulaziz University, Jeddah, Saudi Arabia. This document is valid for a period of ninety (90) days from the date of issue. Unauthorized reproduction or distribution of this Purchase Order is prohibited. For inquiries, contact the Research Procurement Office, King Abdulaziz University, Jeddah, Saudi Arabia. © 2025 King Abdulaziz University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Saudi Arabia Jeddah</dc:title>
  <dc:creator/>
  <dc:language>en</dc:language>
  <cp:keywords/>
  <dcterms:created xsi:type="dcterms:W3CDTF">2026-10-10T05:51:31Z</dcterms:created>
  <dcterms:modified xsi:type="dcterms:W3CDTF">2026-10-10T05:51:31Z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