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United Arab Emirates — Dubai</w:t>
      </w:r>
    </w:p>
    <w:p>
      <w:pPr>
        <w:pStyle w:val="BodyText"/>
      </w:pPr>
      <w:r>
        <w:t xml:space="preserve">Academic Research Procurement Document</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Purchase Order Number:</w:t>
            </w:r>
            <w:r>
              <w:t xml:space="preserve"> </w:t>
            </w:r>
            <w:r>
              <w:t xml:space="preserve">PO-DXB-AR-2025-04782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United Arab Emirates Dirham (AED)</w:t>
            </w:r>
          </w:p>
        </w:tc>
        <w:tc>
          <w:tcPr/>
          <w:p>
            <w:pPr>
              <w:pStyle w:val="Compact"/>
              <w:jc w:val="right"/>
            </w:pPr>
            <w:r>
              <w:rPr>
                <w:bCs/>
                <w:b/>
              </w:rPr>
              <w:t xml:space="preserve">Priority Level:</w:t>
            </w:r>
            <w:r>
              <w:t xml:space="preserve"> </w:t>
            </w:r>
            <w:r>
              <w:t xml:space="preserve">Standard</w:t>
            </w:r>
            <w:r>
              <w:br/>
            </w:r>
            <w:r>
              <w:rPr>
                <w:bCs/>
                <w:b/>
              </w:rPr>
              <w:t xml:space="preserve">Department:</w:t>
            </w:r>
            <w:r>
              <w:t xml:space="preserve"> </w:t>
            </w:r>
            <w:r>
              <w:t xml:space="preserve">Academic Research Division</w:t>
            </w:r>
            <w:r>
              <w:br/>
            </w:r>
            <w:r>
              <w:rPr>
                <w:bCs/>
                <w:b/>
              </w:rPr>
              <w:t xml:space="preserve">Classification:</w:t>
            </w:r>
            <w:r>
              <w:t xml:space="preserve"> </w:t>
            </w:r>
            <w:r>
              <w:t xml:space="preserve">Institutional Procurement</w:t>
            </w:r>
            <w:r>
              <w:br/>
            </w:r>
            <w:r>
              <w:rPr>
                <w:bCs/>
                <w:b/>
              </w:rPr>
              <w:t xml:space="preserve">Reference Code:</w:t>
            </w:r>
            <w:r>
              <w:t xml:space="preserve"> </w:t>
            </w:r>
            <w:r>
              <w:t xml:space="preserve">UAE-DXB-RES-2025</w:t>
            </w:r>
          </w:p>
        </w:tc>
      </w:tr>
    </w:tbl>
    <w:bookmarkStart w:id="23" w:name="parties-involved"/>
    <w:p>
      <w:pPr>
        <w:pStyle w:val="Heading2"/>
      </w:pPr>
      <w:r>
        <w:t xml:space="preserve">1. PARTIES INVOLVED</w:t>
      </w:r>
    </w:p>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buyer-requisitioning-party"/>
            <w:r>
              <w:t xml:space="preserve">BUYER (Requisitioning Party)</w:t>
            </w:r>
            <w:bookmarkEnd w:id="21"/>
          </w:p>
          <w:p>
            <w:pPr>
              <w:jc w:val="left"/>
            </w:pPr>
            <w:r>
              <w:rPr>
                <w:bCs/>
                <w:b/>
              </w:rPr>
              <w:t xml:space="preserve">Name:</w:t>
            </w:r>
            <w:r>
              <w:t xml:space="preserve"> </w:t>
            </w:r>
            <w:r>
              <w:t xml:space="preserve">Dr. Fatima Al Mansouri</w:t>
            </w:r>
          </w:p>
          <w:p>
            <w:pPr>
              <w:jc w:val="left"/>
            </w:pPr>
            <w:r>
              <w:rPr>
                <w:bCs/>
                <w:b/>
              </w:rPr>
              <w:t xml:space="preserve">Title:</w:t>
            </w:r>
            <w:r>
              <w:t xml:space="preserve"> </w:t>
            </w:r>
            <w:r>
              <w:t xml:space="preserve">Senior Academic Researcher, Department of Applied Sciences</w:t>
            </w:r>
          </w:p>
          <w:p>
            <w:pPr>
              <w:jc w:val="left"/>
            </w:pPr>
            <w:r>
              <w:rPr>
                <w:bCs/>
                <w:b/>
              </w:rPr>
              <w:t xml:space="preserve">Institution:</w:t>
            </w:r>
            <w:r>
              <w:t xml:space="preserve"> </w:t>
            </w:r>
            <w:r>
              <w:t xml:space="preserve">Dubai Institute of Advanced Research (DIAR)</w:t>
            </w:r>
          </w:p>
          <w:p>
            <w:pPr>
              <w:jc w:val="left"/>
            </w:pPr>
            <w:r>
              <w:rPr>
                <w:bCs/>
                <w:b/>
              </w:rPr>
              <w:t xml:space="preserve">Address:</w:t>
            </w:r>
            <w:r>
              <w:t xml:space="preserve"> </w:t>
            </w:r>
            <w:r>
              <w:t xml:space="preserve">Building 4, Academic Research Campus, Knowledge Village, Al Barsha South First, Dubai, United Arab Emirates</w:t>
            </w:r>
          </w:p>
          <w:p>
            <w:pPr>
              <w:jc w:val="left"/>
            </w:pPr>
            <w:r>
              <w:rPr>
                <w:bCs/>
                <w:b/>
              </w:rPr>
              <w:t xml:space="preserve">TRN:</w:t>
            </w:r>
            <w:r>
              <w:t xml:space="preserve"> </w:t>
            </w:r>
            <w:r>
              <w:t xml:space="preserve">100245678900003</w:t>
            </w:r>
          </w:p>
          <w:p>
            <w:pPr>
              <w:jc w:val="left"/>
            </w:pPr>
            <w:r>
              <w:rPr>
                <w:bCs/>
                <w:b/>
              </w:rPr>
              <w:t xml:space="preserve">Contact:</w:t>
            </w:r>
            <w:r>
              <w:t xml:space="preserve"> </w:t>
            </w:r>
            <w:r>
              <w:t xml:space="preserve">f.almansouri@diar.ac.ae | +971 4 555 0192</w:t>
            </w:r>
          </w:p>
        </w:tc>
        <w:tc>
          <w:tcPr/>
          <w:p>
            <w:pPr>
              <w:pStyle w:val="Heading3"/>
              <w:jc w:val="left"/>
            </w:pPr>
            <w:bookmarkStart w:id="22" w:name="supplier-vendor"/>
            <w:r>
              <w:t xml:space="preserve">SUPPLIER (Vendor)</w:t>
            </w:r>
            <w:bookmarkEnd w:id="22"/>
          </w:p>
          <w:p>
            <w:pPr>
              <w:jc w:val="left"/>
            </w:pPr>
            <w:r>
              <w:rPr>
                <w:bCs/>
                <w:b/>
              </w:rPr>
              <w:t xml:space="preserve">Name:</w:t>
            </w:r>
            <w:r>
              <w:t xml:space="preserve"> </w:t>
            </w:r>
            <w:r>
              <w:t xml:space="preserve">Gulf Scientific Instruments LLC</w:t>
            </w:r>
          </w:p>
          <w:p>
            <w:pPr>
              <w:jc w:val="left"/>
            </w:pPr>
            <w:r>
              <w:rPr>
                <w:bCs/>
                <w:b/>
              </w:rPr>
              <w:t xml:space="preserve">License No.:</w:t>
            </w:r>
            <w:r>
              <w:t xml:space="preserve"> </w:t>
            </w:r>
            <w:r>
              <w:t xml:space="preserve">DED-2019-44821</w:t>
            </w:r>
          </w:p>
          <w:p>
            <w:pPr>
              <w:jc w:val="left"/>
            </w:pPr>
            <w:r>
              <w:rPr>
                <w:bCs/>
                <w:b/>
              </w:rPr>
              <w:t xml:space="preserve">Address:</w:t>
            </w:r>
            <w:r>
              <w:t xml:space="preserve"> </w:t>
            </w:r>
            <w:r>
              <w:t xml:space="preserve">Office 12, Level 3, Dubai Science Park, Al Barsha South First, Dubai, United Arab Emirates</w:t>
            </w:r>
          </w:p>
          <w:p>
            <w:pPr>
              <w:jc w:val="left"/>
            </w:pPr>
            <w:r>
              <w:rPr>
                <w:bCs/>
                <w:b/>
              </w:rPr>
              <w:t xml:space="preserve">TRN:</w:t>
            </w:r>
            <w:r>
              <w:t xml:space="preserve"> </w:t>
            </w:r>
            <w:r>
              <w:t xml:space="preserve">100987654300003</w:t>
            </w:r>
          </w:p>
          <w:p>
            <w:pPr>
              <w:jc w:val="left"/>
            </w:pPr>
            <w:r>
              <w:rPr>
                <w:bCs/>
                <w:b/>
              </w:rPr>
              <w:t xml:space="preserve">Contact:</w:t>
            </w:r>
            <w:r>
              <w:t xml:space="preserve"> </w:t>
            </w:r>
            <w:r>
              <w:t xml:space="preserve">sales@gulfsci.ae | +971 4 888 3321</w:t>
            </w:r>
          </w:p>
        </w:tc>
      </w:tr>
    </w:tbl>
    <w:bookmarkEnd w:id="23"/>
    <w:bookmarkStart w:id="24" w:name="purpose-and-scope"/>
    <w:p>
      <w:pPr>
        <w:pStyle w:val="Heading2"/>
      </w:pPr>
      <w:r>
        <w:t xml:space="preserve">2. PURPOSE AND SCOPE</w:t>
      </w:r>
    </w:p>
    <w:p>
      <w:pPr>
        <w:pStyle w:val="FirstParagraph"/>
      </w:pPr>
      <w:r>
        <w:t xml:space="preserve">This Purchase Order is issued by Dr. Fatima Al Mansouri, a Senior Academic Researcher affiliated with the Dubai Institute of Advanced Research, to procure specialized laboratory equipment, consumables, and technical services required for an ongoing multi-year research project titled</w:t>
      </w:r>
      <w:r>
        <w:t xml:space="preserve"> </w:t>
      </w:r>
      <w:r>
        <w:rPr>
          <w:iCs/>
          <w:i/>
        </w:rPr>
        <w:t xml:space="preserve">"Advanced Nanomaterial Characterization for Sustainable Energy Applications in the Gulf Region."</w:t>
      </w:r>
      <w:r>
        <w:t xml:space="preserve"> </w:t>
      </w:r>
      <w:r>
        <w:t xml:space="preserve">The procurement is conducted in full compliance with the institutional procurement policies of the Dubai Institute of Advanced Research and the commercial regulations governing the emirate of Dubai within the United Arab Emirates. All goods and services referenced herein shall be delivered to the Academic Research Campus in Dubai, United Arab Emirates, and shall meet the quality standards stipulated by the relevant UAE regulatory authorities.</w:t>
      </w:r>
    </w:p>
    <w:bookmarkEnd w:id="24"/>
    <w:bookmarkStart w:id="25" w:name="line-items-and-quantities"/>
    <w:p>
      <w:pPr>
        <w:pStyle w:val="Heading2"/>
      </w:pPr>
      <w:r>
        <w:t xml:space="preserve">3. LINE ITEMS AND QUANTITIES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(AED)</w:t>
            </w:r>
          </w:p>
        </w:tc>
        <w:tc>
          <w:tcPr/>
          <w:p>
            <w:pPr>
              <w:pStyle w:val="Compact"/>
              <w:jc w:val="right"/>
            </w:pPr>
            <w:r>
              <w:t xml:space="preserve">Total (AED)</w:t>
            </w:r>
          </w:p>
        </w:tc>
      </w:tr>
      <w:tr>
        <w:tc>
          <w:tcPr/>
          <w:p>
            <w:pPr>
              <w:pStyle w:val="Compact"/>
              <w:jc w:val="left"/>
            </w:pPr>
            <w:r>
              <w:t xml:space="preserve">01</w:t>
            </w:r>
          </w:p>
        </w:tc>
        <w:tc>
          <w:tcPr/>
          <w:p>
            <w:pPr>
              <w:pStyle w:val="Compact"/>
              <w:jc w:val="left"/>
            </w:pPr>
            <w:r>
              <w:t xml:space="preserve">Scanning Electron Microscope (SEM), Field Emission, 30kV, with EDS Detector — for nanomaterial surface analysis</w:t>
            </w:r>
          </w:p>
        </w:tc>
        <w:tc>
          <w:tcPr/>
          <w:p>
            <w:pPr>
              <w:pStyle w:val="Compact"/>
              <w:jc w:val="center"/>
            </w:pPr>
            <w:r>
              <w:t xml:space="preserve">1</w:t>
            </w:r>
          </w:p>
        </w:tc>
        <w:tc>
          <w:tcPr/>
          <w:p>
            <w:pPr>
              <w:pStyle w:val="Compact"/>
              <w:jc w:val="right"/>
            </w:pPr>
            <w:r>
              <w:t xml:space="preserve">1,850,000.00</w:t>
            </w:r>
          </w:p>
        </w:tc>
        <w:tc>
          <w:tcPr/>
          <w:p>
            <w:pPr>
              <w:pStyle w:val="Compact"/>
              <w:jc w:val="right"/>
            </w:pPr>
            <w:r>
              <w:t xml:space="preserve">1,850,000.00</w:t>
            </w:r>
          </w:p>
        </w:tc>
      </w:tr>
      <w:tr>
        <w:tc>
          <w:tcPr/>
          <w:p>
            <w:pPr>
              <w:pStyle w:val="Compact"/>
              <w:jc w:val="left"/>
            </w:pPr>
            <w:r>
              <w:t xml:space="preserve">02</w:t>
            </w:r>
          </w:p>
        </w:tc>
        <w:tc>
          <w:tcPr/>
          <w:p>
            <w:pPr>
              <w:pStyle w:val="Compact"/>
              <w:jc w:val="left"/>
            </w:pPr>
            <w:r>
              <w:t xml:space="preserve">X-Ray Diffraction (XRD) Analyzer, Cu Kα radiation, 2θ range 5–150°</w:t>
            </w:r>
          </w:p>
        </w:tc>
        <w:tc>
          <w:tcPr/>
          <w:p>
            <w:pPr>
              <w:pStyle w:val="Compact"/>
              <w:jc w:val="center"/>
            </w:pPr>
            <w:r>
              <w:t xml:space="preserve">1</w:t>
            </w:r>
          </w:p>
        </w:tc>
        <w:tc>
          <w:tcPr/>
          <w:p>
            <w:pPr>
              <w:pStyle w:val="Compact"/>
              <w:jc w:val="right"/>
            </w:pPr>
            <w:r>
              <w:t xml:space="preserve">620,000.00</w:t>
            </w:r>
          </w:p>
        </w:tc>
        <w:tc>
          <w:tcPr/>
          <w:p>
            <w:pPr>
              <w:pStyle w:val="Compact"/>
              <w:jc w:val="right"/>
            </w:pPr>
            <w:r>
              <w:t xml:space="preserve">620,000.00</w:t>
            </w:r>
          </w:p>
        </w:tc>
      </w:tr>
      <w:tr>
        <w:tc>
          <w:tcPr/>
          <w:p>
            <w:pPr>
              <w:pStyle w:val="Compact"/>
              <w:jc w:val="left"/>
            </w:pPr>
            <w:r>
              <w:t xml:space="preserve">03</w:t>
            </w:r>
          </w:p>
        </w:tc>
        <w:tc>
          <w:tcPr/>
          <w:p>
            <w:pPr>
              <w:pStyle w:val="Compact"/>
              <w:jc w:val="left"/>
            </w:pPr>
            <w:r>
              <w:t xml:space="preserve">Ultrahigh Vacuum (UHV) Sputtering System, 10</w:t>
            </w:r>
            <w:r>
              <w:rPr>
                <w:vertAlign w:val="superscript"/>
              </w:rPr>
              <w:t xml:space="preserve">-8</w:t>
            </w:r>
            <w:r>
              <w:t xml:space="preserve"> </w:t>
            </w:r>
            <w:r>
              <w:t xml:space="preserve">mbar base pressure, for thin-film deposition research</w:t>
            </w:r>
          </w:p>
        </w:tc>
        <w:tc>
          <w:tcPr/>
          <w:p>
            <w:pPr>
              <w:pStyle w:val="Compact"/>
              <w:jc w:val="center"/>
            </w:pPr>
            <w:r>
              <w:t xml:space="preserve">1</w:t>
            </w:r>
          </w:p>
        </w:tc>
        <w:tc>
          <w:tcPr/>
          <w:p>
            <w:pPr>
              <w:pStyle w:val="Compact"/>
              <w:jc w:val="right"/>
            </w:pPr>
            <w:r>
              <w:t xml:space="preserve">475,000.00</w:t>
            </w:r>
          </w:p>
        </w:tc>
        <w:tc>
          <w:tcPr/>
          <w:p>
            <w:pPr>
              <w:pStyle w:val="Compact"/>
              <w:jc w:val="right"/>
            </w:pPr>
            <w:r>
              <w:t xml:space="preserve">475,000.00</w:t>
            </w:r>
          </w:p>
        </w:tc>
      </w:tr>
      <w:tr>
        <w:tc>
          <w:tcPr/>
          <w:p>
            <w:pPr>
              <w:pStyle w:val="Compact"/>
              <w:jc w:val="left"/>
            </w:pPr>
            <w:r>
              <w:t xml:space="preserve">04</w:t>
            </w:r>
          </w:p>
        </w:tc>
        <w:tc>
          <w:tcPr/>
          <w:p>
            <w:pPr>
              <w:pStyle w:val="Compact"/>
              <w:jc w:val="left"/>
            </w:pPr>
            <w:r>
              <w:t xml:space="preserve">Laboratory-grade reagents and chemical consumables (annual supply contract for Academic Researcher use)</w:t>
            </w:r>
          </w:p>
        </w:tc>
        <w:tc>
          <w:tcPr/>
          <w:p>
            <w:pPr>
              <w:pStyle w:val="Compact"/>
              <w:jc w:val="center"/>
            </w:pPr>
            <w:r>
              <w:t xml:space="preserve">12</w:t>
            </w:r>
          </w:p>
        </w:tc>
        <w:tc>
          <w:tcPr/>
          <w:p>
            <w:pPr>
              <w:pStyle w:val="Compact"/>
              <w:jc w:val="right"/>
            </w:pPr>
            <w:r>
              <w:t xml:space="preserve">8,500.00</w:t>
            </w:r>
          </w:p>
        </w:tc>
        <w:tc>
          <w:tcPr/>
          <w:p>
            <w:pPr>
              <w:pStyle w:val="Compact"/>
              <w:jc w:val="right"/>
            </w:pPr>
            <w:r>
              <w:t xml:space="preserve">102,000.00</w:t>
            </w:r>
          </w:p>
        </w:tc>
      </w:tr>
      <w:tr>
        <w:tc>
          <w:tcPr/>
          <w:p>
            <w:pPr>
              <w:pStyle w:val="Compact"/>
              <w:jc w:val="left"/>
            </w:pPr>
            <w:r>
              <w:t xml:space="preserve">05</w:t>
            </w:r>
          </w:p>
        </w:tc>
        <w:tc>
          <w:tcPr/>
          <w:p>
            <w:pPr>
              <w:pStyle w:val="Compact"/>
              <w:jc w:val="left"/>
            </w:pPr>
            <w:r>
              <w:t xml:space="preserve">Professional installation, calibration, and 24-month preventive maintenance service for all equipment listed above</w:t>
            </w:r>
          </w:p>
        </w:tc>
        <w:tc>
          <w:tcPr/>
          <w:p>
            <w:pPr>
              <w:pStyle w:val="Compact"/>
              <w:jc w:val="center"/>
            </w:pPr>
            <w:r>
              <w:t xml:space="preserve">1</w:t>
            </w:r>
          </w:p>
        </w:tc>
        <w:tc>
          <w:tcPr/>
          <w:p>
            <w:pPr>
              <w:pStyle w:val="Compact"/>
              <w:jc w:val="right"/>
            </w:pPr>
            <w:r>
              <w:t xml:space="preserve">95,000.00</w:t>
            </w:r>
          </w:p>
        </w:tc>
        <w:tc>
          <w:tcPr/>
          <w:p>
            <w:pPr>
              <w:pStyle w:val="Compact"/>
              <w:jc w:val="right"/>
            </w:pPr>
            <w:r>
              <w:t xml:space="preserve">95,000.00</w:t>
            </w:r>
          </w:p>
        </w:tc>
      </w:tr>
      <w:tr>
        <w:tc>
          <w:tcPr/>
          <w:p>
            <w:pPr>
              <w:pStyle w:val="Compact"/>
              <w:jc w:val="left"/>
            </w:pPr>
            <w:r>
              <w:t xml:space="preserve">06</w:t>
            </w:r>
          </w:p>
        </w:tc>
        <w:tc>
          <w:tcPr/>
          <w:p>
            <w:pPr>
              <w:pStyle w:val="Compact"/>
              <w:jc w:val="left"/>
            </w:pPr>
            <w:r>
              <w:t xml:space="preserve">Technical training for Academic Researcher and two graduate research assistants (3-day on-site program in Dubai)</w:t>
            </w:r>
          </w:p>
        </w:tc>
        <w:tc>
          <w:tcPr/>
          <w:p>
            <w:pPr>
              <w:pStyle w:val="Compact"/>
              <w:jc w:val="center"/>
            </w:pPr>
            <w:r>
              <w:t xml:space="preserve">1</w:t>
            </w:r>
          </w:p>
        </w:tc>
        <w:tc>
          <w:tcPr/>
          <w:p>
            <w:pPr>
              <w:pStyle w:val="Compact"/>
              <w:jc w:val="right"/>
            </w:pPr>
            <w:r>
              <w:t xml:space="preserve">28,000.00</w:t>
            </w:r>
          </w:p>
        </w:tc>
        <w:tc>
          <w:tcPr/>
          <w:p>
            <w:pPr>
              <w:pStyle w:val="Compact"/>
              <w:jc w:val="right"/>
            </w:pPr>
            <w:r>
              <w:t xml:space="preserve">28,000.00</w:t>
            </w:r>
          </w:p>
        </w:tc>
      </w:tr>
    </w:tbl>
    <w:bookmarkEnd w:id="25"/>
    <w:bookmarkStart w:id="26" w:name="financial-summary"/>
    <w:p>
      <w:pPr>
        <w:pStyle w:val="Heading2"/>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AED 3,170,000.00</w:t>
            </w:r>
          </w:p>
        </w:tc>
      </w:tr>
      <w:tr>
        <w:tc>
          <w:tcPr/>
          <w:p>
            <w:pPr>
              <w:pStyle w:val="Compact"/>
              <w:jc w:val="left"/>
            </w:pPr>
            <w:r>
              <w:t xml:space="preserve">VAT (5% — UAE Standard Rate)</w:t>
            </w:r>
          </w:p>
        </w:tc>
        <w:tc>
          <w:tcPr/>
          <w:p>
            <w:pPr>
              <w:pStyle w:val="Compact"/>
              <w:jc w:val="right"/>
            </w:pPr>
            <w:r>
              <w:t xml:space="preserve">AED 158,500.00</w:t>
            </w:r>
          </w:p>
        </w:tc>
      </w:tr>
      <w:tr>
        <w:tc>
          <w:tcPr/>
          <w:p>
            <w:pPr>
              <w:pStyle w:val="Compact"/>
              <w:jc w:val="left"/>
            </w:pPr>
            <w:r>
              <w:t xml:space="preserve">TOTAL AMOUNT DUE</w:t>
            </w:r>
          </w:p>
        </w:tc>
        <w:tc>
          <w:tcPr/>
          <w:p>
            <w:pPr>
              <w:pStyle w:val="Compact"/>
              <w:jc w:val="right"/>
            </w:pPr>
            <w:r>
              <w:t xml:space="preserve">AED 3,328,500.00</w:t>
            </w:r>
          </w:p>
        </w:tc>
      </w:tr>
    </w:tbl>
    <w:bookmarkEnd w:id="26"/>
    <w:bookmarkStart w:id="27" w:name="delivery-and-installation-terms"/>
    <w:p>
      <w:pPr>
        <w:pStyle w:val="Heading2"/>
      </w:pPr>
      <w:r>
        <w:t xml:space="preserve">5. DELIVERY AND INSTALLATION TERMS</w:t>
      </w:r>
    </w:p>
    <w:p>
      <w:pPr>
        <w:pStyle w:val="FirstParagraph"/>
      </w:pPr>
      <w:r>
        <w:t xml:space="preserve">All equipment shall be delivered to the Academic Research Campus, Knowledge Village, Al Barsha South First, Dubai, United Arab Emirates, no later than</w:t>
      </w:r>
      <w:r>
        <w:t xml:space="preserve"> </w:t>
      </w:r>
      <w:r>
        <w:rPr>
          <w:bCs/>
          <w:b/>
        </w:rPr>
        <w:t xml:space="preserve">30 August 2025</w:t>
      </w:r>
      <w:r>
        <w:t xml:space="preserve">. The supplier is responsible for all freight, customs clearance within the United Arab Emirates, insurance during transit, and final positioning within the designated laboratory suites (Rooms 412 and 415, Building 4). Installation and initial calibration must be completed within fourteen (14) calendar days of delivery. The Academic Researcher, Dr. Al Mansouri, or her designated laboratory manager shall sign the delivery and installation acceptance certificate upon satisfactory completion.</w:t>
      </w:r>
    </w:p>
    <w:bookmarkEnd w:id="27"/>
    <w:bookmarkStart w:id="28" w:name="payment-terms"/>
    <w:p>
      <w:pPr>
        <w:pStyle w:val="Heading2"/>
      </w:pPr>
      <w:r>
        <w:t xml:space="preserve">6. PAYMENT TERMS</w:t>
      </w:r>
    </w:p>
    <w:p>
      <w:pPr>
        <w:pStyle w:val="FirstParagraph"/>
      </w:pPr>
      <w:r>
        <w:t xml:space="preserve">Payment shall be made via bank transfer to the supplier's designated account in the United Arab Emirates in accordance with the following schedule:</w:t>
      </w:r>
    </w:p>
    <w:p>
      <w:pPr>
        <w:numPr>
          <w:ilvl w:val="0"/>
          <w:numId w:val="1001"/>
        </w:numPr>
        <w:pStyle w:val="Compact"/>
      </w:pPr>
      <w:r>
        <w:rPr>
          <w:bCs/>
          <w:b/>
        </w:rPr>
        <w:t xml:space="preserve">30% Advance Payment (AED 998,550.00):</w:t>
      </w:r>
      <w:r>
        <w:t xml:space="preserve"> </w:t>
      </w:r>
      <w:r>
        <w:t xml:space="preserve">Due within ten (10) business days of Purchase Order acceptance by the supplier.</w:t>
      </w:r>
    </w:p>
    <w:p>
      <w:pPr>
        <w:numPr>
          <w:ilvl w:val="0"/>
          <w:numId w:val="1001"/>
        </w:numPr>
        <w:pStyle w:val="Compact"/>
      </w:pPr>
      <w:r>
        <w:rPr>
          <w:bCs/>
          <w:b/>
        </w:rPr>
        <w:t xml:space="preserve">50% Upon Delivery and Installation (AED 1,664,250.00):</w:t>
      </w:r>
      <w:r>
        <w:t xml:space="preserve"> </w:t>
      </w:r>
      <w:r>
        <w:t xml:space="preserve">Due within fifteen (15) business days of signed acceptance certificate.</w:t>
      </w:r>
    </w:p>
    <w:p>
      <w:pPr>
        <w:numPr>
          <w:ilvl w:val="0"/>
          <w:numId w:val="1001"/>
        </w:numPr>
        <w:pStyle w:val="Compact"/>
      </w:pPr>
      <w:r>
        <w:rPr>
          <w:bCs/>
          <w:b/>
        </w:rPr>
        <w:t xml:space="preserve">20% Retention (AED 665,700.00):</w:t>
      </w:r>
      <w:r>
        <w:t xml:space="preserve"> </w:t>
      </w:r>
      <w:r>
        <w:t xml:space="preserve">Due within thirty (30) days after the completion of the 24-month preventive maintenance period, subject to satisfactory performance.</w:t>
      </w:r>
    </w:p>
    <w:p>
      <w:pPr>
        <w:pStyle w:val="FirstParagraph"/>
      </w:pPr>
      <w:r>
        <w:t xml:space="preserve">All payments are subject to the supplier submitting valid tax invoices compliant with the Federal Tax Authority of the United Arab Emirates. Late payments shall incur a penalty of 1.5% per month as per UAE commercial law.</w:t>
      </w:r>
    </w:p>
    <w:bookmarkEnd w:id="28"/>
    <w:bookmarkStart w:id="29" w:name="terms-and-conditions"/>
    <w:p>
      <w:pPr>
        <w:pStyle w:val="Heading2"/>
      </w:pPr>
      <w:r>
        <w:t xml:space="preserve">7. TERMS AND CONDITIONS</w:t>
      </w:r>
    </w:p>
    <w:p>
      <w:pPr>
        <w:numPr>
          <w:ilvl w:val="0"/>
          <w:numId w:val="1002"/>
        </w:numPr>
        <w:pStyle w:val="Compact"/>
      </w:pPr>
      <w:r>
        <w:t xml:space="preserve">This Purchase Order is governed by the laws of the United Arab Emirates and the commercial regulations of the emirate of Dubai. Any disputes shall be resolved through the Dubai Courts or, at the mutual agreement of both parties, through arbitration at the Dubai International Arbitration Centre (DIAC).</w:t>
      </w:r>
    </w:p>
    <w:p>
      <w:pPr>
        <w:numPr>
          <w:ilvl w:val="0"/>
          <w:numId w:val="1002"/>
        </w:numPr>
        <w:pStyle w:val="Compact"/>
      </w:pPr>
      <w:r>
        <w:t xml:space="preserve">The supplier warrants that all equipment is new, unused, and free from defects for a minimum period of twenty-four (24) months from the date of installation acceptance.</w:t>
      </w:r>
    </w:p>
    <w:p>
      <w:pPr>
        <w:numPr>
          <w:ilvl w:val="0"/>
          <w:numId w:val="1002"/>
        </w:numPr>
        <w:pStyle w:val="Compact"/>
      </w:pPr>
      <w:r>
        <w:t xml:space="preserve">The Academic Researcher reserves the right to inspect all goods upon delivery and to reject any item that does not conform to the specifications outlined in this Purchase Order or the attached technical annexures.</w:t>
      </w:r>
    </w:p>
    <w:p>
      <w:pPr>
        <w:numPr>
          <w:ilvl w:val="0"/>
          <w:numId w:val="1002"/>
        </w:numPr>
        <w:pStyle w:val="Compact"/>
      </w:pPr>
      <w:r>
        <w:t xml:space="preserve">Intellectual property rights related to research outputs generated using the procured equipment shall remain solely with the Dubai Institute of Advanced Research and the Academic Researcher.</w:t>
      </w:r>
    </w:p>
    <w:p>
      <w:pPr>
        <w:numPr>
          <w:ilvl w:val="0"/>
          <w:numId w:val="1002"/>
        </w:numPr>
        <w:pStyle w:val="Compact"/>
      </w:pPr>
      <w:r>
        <w:t xml:space="preserve">The supplier shall comply with all UAE environmental regulations, occupational health and safety standards, and import licensing requirements applicable to scientific instruments in Dubai.</w:t>
      </w:r>
    </w:p>
    <w:p>
      <w:pPr>
        <w:numPr>
          <w:ilvl w:val="0"/>
          <w:numId w:val="1002"/>
        </w:numPr>
        <w:pStyle w:val="Compact"/>
      </w:pPr>
      <w:r>
        <w:t xml:space="preserve">This Purchase Order may be amended only by written mutual agreement signed by both the Academic Researcher (or her authorized institutional representative) and the supplier's authorized signatory.</w:t>
      </w:r>
    </w:p>
    <w:p>
      <w:pPr>
        <w:numPr>
          <w:ilvl w:val="0"/>
          <w:numId w:val="1002"/>
        </w:numPr>
        <w:pStyle w:val="Compact"/>
      </w:pPr>
      <w:r>
        <w:t xml:space="preserve">Force majeure events, including but not limited to natural disasters, government sanctions, or pandemics affecting the United Arab Emirates, shall extend delivery timelines proportionally without penalty to either party.</w:t>
      </w:r>
    </w:p>
    <w:bookmarkEnd w:id="29"/>
    <w:bookmarkStart w:id="30" w:name="authorization-and-signatures"/>
    <w:p>
      <w:pPr>
        <w:pStyle w:val="Heading2"/>
      </w:pPr>
      <w:r>
        <w:t xml:space="preserve">8. AUTHORIZATION AND SIGNATURES</w:t>
      </w:r>
    </w:p>
    <w:tbl>
      <w:tblPr>
        <w:tblStyle w:val="Table"/>
        <w:tblW w:type="pct" w:w="5000"/>
        <w:tblLook w:firstRow="0" w:lastRow="0" w:firstColumn="0" w:lastColumn="0" w:noHBand="0" w:noVBand="0" w:val="0000"/>
      </w:tblPr>
      <w:tblGrid>
        <w:gridCol w:w="3960"/>
        <w:gridCol w:w="3960"/>
      </w:tblGrid>
      <w:tr>
        <w:tc>
          <w:tcPr/>
          <w:p>
            <w:pPr>
              <w:jc w:val="left"/>
            </w:pPr>
            <w:r>
              <w:t xml:space="preserve">For and on behalf of the Buyer (Academic Researcher):</w:t>
            </w:r>
          </w:p>
          <w:p>
            <w:pPr>
              <w:jc w:val="left"/>
            </w:pPr>
            <w:r>
              <w:t xml:space="preserve">______________________________</w:t>
            </w:r>
          </w:p>
          <w:p>
            <w:pPr>
              <w:jc w:val="left"/>
            </w:pPr>
            <w:r>
              <w:rPr>
                <w:bCs/>
                <w:b/>
              </w:rPr>
              <w:t xml:space="preserve">Dr. Fatima Al Mansouri</w:t>
            </w:r>
          </w:p>
          <w:p>
            <w:pPr>
              <w:jc w:val="left"/>
            </w:pPr>
            <w:r>
              <w:t xml:space="preserve">Senior Academic Researcher, DIAR</w:t>
            </w:r>
          </w:p>
          <w:p>
            <w:pPr>
              <w:jc w:val="left"/>
            </w:pPr>
            <w:r>
              <w:t xml:space="preserve">Date: _______________</w:t>
            </w:r>
          </w:p>
        </w:tc>
        <w:tc>
          <w:tcPr/>
          <w:p>
            <w:pPr>
              <w:jc w:val="left"/>
            </w:pPr>
            <w:r>
              <w:t xml:space="preserve">For and on behalf of the Supplier:</w:t>
            </w:r>
          </w:p>
          <w:p>
            <w:pPr>
              <w:jc w:val="left"/>
            </w:pPr>
            <w:r>
              <w:t xml:space="preserve">______________________________</w:t>
            </w:r>
          </w:p>
          <w:p>
            <w:pPr>
              <w:jc w:val="left"/>
            </w:pPr>
            <w:r>
              <w:rPr>
                <w:bCs/>
                <w:b/>
              </w:rPr>
              <w:t xml:space="preserve">Mr. Khalid Al Rashid</w:t>
            </w:r>
          </w:p>
          <w:p>
            <w:pPr>
              <w:jc w:val="left"/>
            </w:pPr>
            <w:r>
              <w:t xml:space="preserve">Managing Director, Gulf Scientific Instruments LLC</w:t>
            </w:r>
          </w:p>
          <w:p>
            <w:pPr>
              <w:jc w:val="left"/>
            </w:pPr>
            <w:r>
              <w:t xml:space="preserve">Date: _______________</w:t>
            </w:r>
          </w:p>
        </w:tc>
      </w:tr>
    </w:tbl>
    <w:p>
      <w:pPr>
        <w:pStyle w:val="BodyText"/>
      </w:pPr>
      <w:r>
        <w:t xml:space="preserve">This Purchase Order document was prepared in accordance with the procurement policies of the Dubai Institute of Advanced Research, Dubai, United Arab Emirates. Document Reference: PO-DXB-AR-2025-04782. This document is valid only when bearing the official institutional stamp and authorized signatures of both parties.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United Arab Emirates Dubai</dc:title>
  <dc:creator/>
  <dc:language>en</dc:language>
  <cp:keywords/>
  <dcterms:created xsi:type="dcterms:W3CDTF">2026-10-10T07:04:14Z</dcterms:created>
  <dcterms:modified xsi:type="dcterms:W3CDTF">2026-10-10T07:04:14Z</dcterms:modified>
</cp:coreProperties>
</file>

<file path=docProps/custom.xml><?xml version="1.0" encoding="utf-8"?>
<Properties xmlns="http://schemas.openxmlformats.org/officeDocument/2006/custom-properties" xmlns:vt="http://schemas.openxmlformats.org/officeDocument/2006/docPropsVTypes"/>
</file>