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Academic Researcher Procurement Document — United States Miami</w:t>
      </w:r>
    </w:p>
    <w:bookmarkEnd w:id="20"/>
    <w:p>
      <w:pPr>
        <w:pStyle w:val="BodyText"/>
      </w:pPr>
      <w:r>
        <w:t xml:space="preserve">PO No.: USM-AR-2025-04782</w:t>
      </w:r>
    </w:p>
    <w:bookmarkStart w:id="21" w:name="buyer-requisitioning-party"/>
    <w:p>
      <w:pPr>
        <w:pStyle w:val="Heading3"/>
      </w:pPr>
      <w:r>
        <w:t xml:space="preserve">Buyer / Requisitioning Party</w:t>
      </w:r>
    </w:p>
    <w:p>
      <w:pPr>
        <w:pStyle w:val="FirstParagraph"/>
      </w:pPr>
      <w:r>
        <w:rPr>
          <w:bCs/>
          <w:b/>
        </w:rPr>
        <w:t xml:space="preserve">Dr. Elena M. Vasquez, Ph.D.</w:t>
      </w:r>
    </w:p>
    <w:p>
      <w:pPr>
        <w:pStyle w:val="BodyText"/>
      </w:pPr>
      <w:r>
        <w:t xml:space="preserve">Academic Researcher, Department of Marine Biology</w:t>
      </w:r>
    </w:p>
    <w:p>
      <w:pPr>
        <w:pStyle w:val="BodyText"/>
      </w:pPr>
      <w:r>
        <w:t xml:space="preserve">University of Miami Research Institute</w:t>
      </w:r>
    </w:p>
    <w:p>
      <w:pPr>
        <w:pStyle w:val="BodyText"/>
      </w:pPr>
      <w:r>
        <w:t xml:space="preserve">1300 Coral Way, Building 412</w:t>
      </w:r>
    </w:p>
    <w:p>
      <w:pPr>
        <w:pStyle w:val="BodyText"/>
      </w:pPr>
      <w:r>
        <w:t xml:space="preserve">Miami, Florida 33146</w:t>
      </w:r>
    </w:p>
    <w:p>
      <w:pPr>
        <w:pStyle w:val="BodyText"/>
      </w:pPr>
      <w:r>
        <w:t xml:space="preserve">United States</w:t>
      </w:r>
    </w:p>
    <w:p>
      <w:pPr>
        <w:pStyle w:val="BodyText"/>
      </w:pPr>
      <w:r>
        <w:t xml:space="preserve">Email: e.vasquez@miami.edu</w:t>
      </w:r>
    </w:p>
    <w:p>
      <w:pPr>
        <w:pStyle w:val="BodyText"/>
      </w:pPr>
      <w:r>
        <w:t xml:space="preserve">Phone: (305) 555-0192</w:t>
      </w:r>
    </w:p>
    <w:bookmarkEnd w:id="21"/>
    <w:bookmarkStart w:id="22" w:name="supplier-vendor"/>
    <w:p>
      <w:pPr>
        <w:pStyle w:val="Heading3"/>
      </w:pPr>
      <w:r>
        <w:t xml:space="preserve">Supplier / Vendor</w:t>
      </w:r>
    </w:p>
    <w:p>
      <w:pPr>
        <w:pStyle w:val="FirstParagraph"/>
      </w:pPr>
      <w:r>
        <w:rPr>
          <w:bCs/>
          <w:b/>
        </w:rPr>
        <w:t xml:space="preserve">Atlantic Scientific Instruments, Inc.</w:t>
      </w:r>
    </w:p>
    <w:p>
      <w:pPr>
        <w:pStyle w:val="BodyText"/>
      </w:pPr>
      <w:r>
        <w:t xml:space="preserve">1200 Biscayne Boulevard, Suite 800</w:t>
      </w:r>
    </w:p>
    <w:p>
      <w:pPr>
        <w:pStyle w:val="BodyText"/>
      </w:pPr>
      <w:r>
        <w:t xml:space="preserve">Miami, Florida 33132</w:t>
      </w:r>
    </w:p>
    <w:p>
      <w:pPr>
        <w:pStyle w:val="BodyText"/>
      </w:pPr>
      <w:r>
        <w:t xml:space="preserve">United States</w:t>
      </w:r>
    </w:p>
    <w:p>
      <w:pPr>
        <w:pStyle w:val="BodyText"/>
      </w:pPr>
      <w:r>
        <w:t xml:space="preserve">Tax ID (EIN): 82-4471903</w:t>
      </w:r>
    </w:p>
    <w:p>
      <w:pPr>
        <w:pStyle w:val="BodyText"/>
      </w:pPr>
      <w:r>
        <w:t xml:space="preserve">Contact: Mr. James R. Thornton, Sales Director</w:t>
      </w:r>
    </w:p>
    <w:p>
      <w:pPr>
        <w:pStyle w:val="BodyText"/>
      </w:pPr>
      <w:r>
        <w:t xml:space="preserve">Email: j.thornton@atlanticsci.com</w:t>
      </w:r>
    </w:p>
    <w:p>
      <w:pPr>
        <w:pStyle w:val="BodyText"/>
      </w:pPr>
      <w:r>
        <w:t xml:space="preserve">Phone: (305) 555-0347</w:t>
      </w:r>
    </w:p>
    <w:bookmarkEnd w:id="22"/>
    <w:p>
      <w:pPr>
        <w:pStyle w:val="BodyText"/>
      </w:pPr>
      <w:r>
        <w:t xml:space="preserve">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June 12, 2025</w:t>
            </w:r>
          </w:p>
        </w:tc>
        <w:tc>
          <w:tcPr/>
          <w:p>
            <w:pPr>
              <w:pStyle w:val="Compact"/>
              <w:jc w:val="left"/>
            </w:pPr>
            <w:r>
              <w:rPr>
                <w:bCs/>
                <w:b/>
              </w:rPr>
              <w:t xml:space="preserve">Required Delivery Date:</w:t>
            </w:r>
          </w:p>
        </w:tc>
        <w:tc>
          <w:tcPr/>
          <w:p>
            <w:pPr>
              <w:pStyle w:val="Compact"/>
              <w:jc w:val="left"/>
            </w:pPr>
            <w:r>
              <w:t xml:space="preserve">July 15, 2025</w:t>
            </w:r>
          </w:p>
        </w:tc>
      </w:tr>
      <w:tr>
        <w:tc>
          <w:tcPr/>
          <w:p>
            <w:pPr>
              <w:pStyle w:val="Compact"/>
              <w:jc w:val="left"/>
            </w:pPr>
            <w:r>
              <w:rPr>
                <w:bCs/>
                <w:b/>
              </w:rPr>
              <w:t xml:space="preserve">Delivery Location:</w:t>
            </w:r>
          </w:p>
        </w:tc>
        <w:tc>
          <w:tcPr/>
          <w:p>
            <w:pPr>
              <w:pStyle w:val="Compact"/>
              <w:jc w:val="left"/>
            </w:pPr>
            <w:r>
              <w:t xml:space="preserve">University of Miami, Coral Gables Campus, Miami, FL, United States</w:t>
            </w:r>
          </w:p>
        </w:tc>
        <w:tc>
          <w:tcPr/>
          <w:p>
            <w:pPr>
              <w:pStyle w:val="Compact"/>
              <w:jc w:val="left"/>
            </w:pPr>
            <w:r>
              <w:rPr>
                <w:bCs/>
                <w:b/>
              </w:rPr>
              <w:t xml:space="preserve">Payment Terms:</w:t>
            </w:r>
          </w:p>
        </w:tc>
        <w:tc>
          <w:tcPr/>
          <w:p>
            <w:pPr>
              <w:pStyle w:val="Compact"/>
              <w:jc w:val="left"/>
            </w:pPr>
            <w:r>
              <w:t xml:space="preserve">Net 30 Days from Invoice</w:t>
            </w:r>
          </w:p>
        </w:tc>
      </w:tr>
      <w:tr>
        <w:tc>
          <w:tcPr/>
          <w:p>
            <w:pPr>
              <w:pStyle w:val="Compact"/>
              <w:jc w:val="left"/>
            </w:pPr>
            <w:r>
              <w:rPr>
                <w:bCs/>
                <w:b/>
              </w:rPr>
              <w:t xml:space="preserve">Shipping Method:</w:t>
            </w:r>
          </w:p>
        </w:tc>
        <w:tc>
          <w:tcPr/>
          <w:p>
            <w:pPr>
              <w:pStyle w:val="Compact"/>
              <w:jc w:val="left"/>
            </w:pPr>
            <w:r>
              <w:t xml:space="preserve">Freight (FOB Destination, Miami, FL)</w:t>
            </w:r>
          </w:p>
        </w:tc>
        <w:tc>
          <w:tcPr/>
          <w:p>
            <w:pPr>
              <w:pStyle w:val="Compact"/>
              <w:jc w:val="left"/>
            </w:pPr>
            <w:r>
              <w:rPr>
                <w:bCs/>
                <w:b/>
              </w:rPr>
              <w:t xml:space="preserve">Incoterms:</w:t>
            </w:r>
          </w:p>
        </w:tc>
        <w:tc>
          <w:tcPr/>
          <w:p>
            <w:pPr>
              <w:pStyle w:val="Compact"/>
              <w:jc w:val="left"/>
            </w:pPr>
            <w:r>
              <w:t xml:space="preserve">DDP Miami, United States</w:t>
            </w:r>
          </w:p>
        </w:tc>
      </w:tr>
    </w:tbl>
    <w:p>
      <w:pPr>
        <w:pStyle w:val="BodyText"/>
      </w:pPr>
      <w:r>
        <w:t xml:space="preserve">Line Items — Academic Researcher Equipment and Materials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High-Resolution Marine Spectrophotometer (Model MS-9400) for underwater pigment analysis, calibrated for tropical reef environments in the Miami-Dade coastal region</w:t>
            </w:r>
          </w:p>
        </w:tc>
        <w:tc>
          <w:tcPr/>
          <w:p>
            <w:pPr>
              <w:pStyle w:val="Compact"/>
              <w:jc w:val="left"/>
            </w:pPr>
            <w:r>
              <w:t xml:space="preserve">2</w:t>
            </w:r>
          </w:p>
        </w:tc>
        <w:tc>
          <w:tcPr/>
          <w:p>
            <w:pPr>
              <w:pStyle w:val="Compact"/>
              <w:jc w:val="left"/>
            </w:pPr>
            <w:r>
              <w:t xml:space="preserve">$18,750.00</w:t>
            </w:r>
          </w:p>
        </w:tc>
        <w:tc>
          <w:tcPr/>
          <w:p>
            <w:pPr>
              <w:pStyle w:val="Compact"/>
              <w:jc w:val="left"/>
            </w:pPr>
            <w:r>
              <w:t xml:space="preserve">$37,500.00</w:t>
            </w:r>
          </w:p>
        </w:tc>
      </w:tr>
      <w:tr>
        <w:tc>
          <w:tcPr/>
          <w:p>
            <w:pPr>
              <w:pStyle w:val="Compact"/>
              <w:jc w:val="left"/>
            </w:pPr>
            <w:r>
              <w:t xml:space="preserve">2</w:t>
            </w:r>
          </w:p>
        </w:tc>
        <w:tc>
          <w:tcPr/>
          <w:p>
            <w:pPr>
              <w:pStyle w:val="Compact"/>
              <w:jc w:val="left"/>
            </w:pPr>
            <w:r>
              <w:t xml:space="preserve">Portable DNA Sequencing Kit (Illumina MiniSeq) with reagents sufficient for 200 coral tissue samples, supporting the Academic Researcher's genomics study on bleaching resistance</w:t>
            </w:r>
          </w:p>
        </w:tc>
        <w:tc>
          <w:tcPr/>
          <w:p>
            <w:pPr>
              <w:pStyle w:val="Compact"/>
              <w:jc w:val="left"/>
            </w:pPr>
            <w:r>
              <w:t xml:space="preserve">1</w:t>
            </w:r>
          </w:p>
        </w:tc>
        <w:tc>
          <w:tcPr/>
          <w:p>
            <w:pPr>
              <w:pStyle w:val="Compact"/>
              <w:jc w:val="left"/>
            </w:pPr>
            <w:r>
              <w:t xml:space="preserve">$42,300.00</w:t>
            </w:r>
          </w:p>
        </w:tc>
        <w:tc>
          <w:tcPr/>
          <w:p>
            <w:pPr>
              <w:pStyle w:val="Compact"/>
              <w:jc w:val="left"/>
            </w:pPr>
            <w:r>
              <w:t xml:space="preserve">$42,300.00</w:t>
            </w:r>
          </w:p>
        </w:tc>
      </w:tr>
      <w:tr>
        <w:tc>
          <w:tcPr/>
          <w:p>
            <w:pPr>
              <w:pStyle w:val="Compact"/>
              <w:jc w:val="left"/>
            </w:pPr>
            <w:r>
              <w:t xml:space="preserve">3</w:t>
            </w:r>
          </w:p>
        </w:tc>
        <w:tc>
          <w:tcPr/>
          <w:p>
            <w:pPr>
              <w:pStyle w:val="Compact"/>
              <w:jc w:val="left"/>
            </w:pPr>
            <w:r>
              <w:t xml:space="preserve">Submersible Water Quality Monitoring Station (5-sensor array: pH, DO, salinity, turbidity, temperature) with 90-day battery life, rated for deployment in Biscayne Bay, Miami</w:t>
            </w:r>
          </w:p>
        </w:tc>
        <w:tc>
          <w:tcPr/>
          <w:p>
            <w:pPr>
              <w:pStyle w:val="Compact"/>
              <w:jc w:val="left"/>
            </w:pPr>
            <w:r>
              <w:t xml:space="preserve">4</w:t>
            </w:r>
          </w:p>
        </w:tc>
        <w:tc>
          <w:tcPr/>
          <w:p>
            <w:pPr>
              <w:pStyle w:val="Compact"/>
              <w:jc w:val="left"/>
            </w:pPr>
            <w:r>
              <w:t xml:space="preserve">$6,200.00</w:t>
            </w:r>
          </w:p>
        </w:tc>
        <w:tc>
          <w:tcPr/>
          <w:p>
            <w:pPr>
              <w:pStyle w:val="Compact"/>
              <w:jc w:val="left"/>
            </w:pPr>
            <w:r>
              <w:t xml:space="preserve">$24,800.00</w:t>
            </w:r>
          </w:p>
        </w:tc>
      </w:tr>
      <w:tr>
        <w:tc>
          <w:tcPr/>
          <w:p>
            <w:pPr>
              <w:pStyle w:val="Compact"/>
              <w:jc w:val="left"/>
            </w:pPr>
            <w:r>
              <w:t xml:space="preserve">4</w:t>
            </w:r>
          </w:p>
        </w:tc>
        <w:tc>
          <w:tcPr/>
          <w:p>
            <w:pPr>
              <w:pStyle w:val="Compact"/>
              <w:jc w:val="left"/>
            </w:pPr>
            <w:r>
              <w:t xml:space="preserve">Refrigerated Sample Transport Case (220L, 2–8°C) with GPS tracking and tamper-evident seals, compliant with United States Department of Agriculture transport regulations</w:t>
            </w:r>
          </w:p>
        </w:tc>
        <w:tc>
          <w:tcPr/>
          <w:p>
            <w:pPr>
              <w:pStyle w:val="Compact"/>
              <w:jc w:val="left"/>
            </w:pPr>
            <w:r>
              <w:t xml:space="preserve">6</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5</w:t>
            </w:r>
          </w:p>
        </w:tc>
        <w:tc>
          <w:tcPr/>
          <w:p>
            <w:pPr>
              <w:pStyle w:val="Compact"/>
              <w:jc w:val="left"/>
            </w:pPr>
            <w:r>
              <w:t xml:space="preserve">Custom Laboratory Glassware Set (borosilicate, 200-piece) for the Academic Researcher's chemical analysis protocols, including volumetric flasks, beakers, and graduated cylinders</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6</w:t>
            </w:r>
          </w:p>
        </w:tc>
        <w:tc>
          <w:tcPr/>
          <w:p>
            <w:pPr>
              <w:pStyle w:val="Compact"/>
              <w:jc w:val="left"/>
            </w:pPr>
            <w:r>
              <w:t xml:space="preserve">Industrial-Grade Data Logger (16-channel, 1 Hz sampling) with SD card storage and USB-C interface, for continuous environmental monitoring at the Miami research station</w:t>
            </w:r>
          </w:p>
        </w:tc>
        <w:tc>
          <w:tcPr/>
          <w:p>
            <w:pPr>
              <w:pStyle w:val="Compact"/>
              <w:jc w:val="left"/>
            </w:pPr>
            <w:r>
              <w:t xml:space="preserve">8</w:t>
            </w:r>
          </w:p>
        </w:tc>
        <w:tc>
          <w:tcPr/>
          <w:p>
            <w:pPr>
              <w:pStyle w:val="Compact"/>
              <w:jc w:val="left"/>
            </w:pPr>
            <w:r>
              <w:t xml:space="preserve">$975.00</w:t>
            </w:r>
          </w:p>
        </w:tc>
        <w:tc>
          <w:tcPr/>
          <w:p>
            <w:pPr>
              <w:pStyle w:val="Compact"/>
              <w:jc w:val="left"/>
            </w:pPr>
            <w:r>
              <w:t xml:space="preserve">$7,800.00</w:t>
            </w:r>
          </w:p>
        </w:tc>
      </w:tr>
      <w:tr>
        <w:tc>
          <w:tcPr/>
          <w:p>
            <w:pPr>
              <w:pStyle w:val="Compact"/>
              <w:jc w:val="left"/>
            </w:pPr>
            <w:r>
              <w:t xml:space="preserve">7</w:t>
            </w:r>
          </w:p>
        </w:tc>
        <w:tc>
          <w:tcPr/>
          <w:p>
            <w:pPr>
              <w:pStyle w:val="Compact"/>
              <w:jc w:val="left"/>
            </w:pPr>
            <w:r>
              <w:t xml:space="preserve">Personal Protective Equipment (PPE) Bundle: nitrile gloves (10,000 units), safety goggles (50 units), lab coats (20 units), and chemical-resistant aprons (10 units) for the Academic Researcher's laboratory team</w:t>
            </w:r>
          </w:p>
        </w:tc>
        <w:tc>
          <w:tcPr/>
          <w:p>
            <w:pPr>
              <w:pStyle w:val="Compact"/>
              <w:jc w:val="left"/>
            </w:pPr>
            <w:r>
              <w:t xml:space="preserve">1</w:t>
            </w:r>
          </w:p>
        </w:tc>
        <w:tc>
          <w:tcPr/>
          <w:p>
            <w:pPr>
              <w:pStyle w:val="Compact"/>
              <w:jc w:val="left"/>
            </w:pPr>
            <w:r>
              <w:t xml:space="preserve">$2,650.00</w:t>
            </w:r>
          </w:p>
        </w:tc>
        <w:tc>
          <w:tcPr/>
          <w:p>
            <w:pPr>
              <w:pStyle w:val="Compact"/>
              <w:jc w:val="left"/>
            </w:pPr>
            <w:r>
              <w:t xml:space="preserve">$2,650.00</w:t>
            </w:r>
          </w:p>
        </w:tc>
      </w:tr>
      <w:tr>
        <w:tc>
          <w:tcPr/>
          <w:p>
            <w:pPr>
              <w:pStyle w:val="Compact"/>
              <w:jc w:val="left"/>
            </w:pPr>
            <w:r>
              <w:t xml:space="preserve">8</w:t>
            </w:r>
          </w:p>
        </w:tc>
        <w:tc>
          <w:tcPr/>
          <w:p>
            <w:pPr>
              <w:pStyle w:val="Compact"/>
              <w:jc w:val="left"/>
            </w:pPr>
            <w:r>
              <w:t xml:space="preserve">Calibration Service and Annual Maintenance Contract for all electronic instruments listed above, covering on-site service in Miami, Florida, United States</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left"/>
            </w:pPr>
            <w:r>
              <w:t xml:space="preserve">$134,750.00</w:t>
            </w:r>
          </w:p>
        </w:tc>
      </w:tr>
      <w:tr>
        <w:tc>
          <w:tcPr/>
          <w:p>
            <w:pPr>
              <w:pStyle w:val="Compact"/>
              <w:jc w:val="right"/>
            </w:pPr>
            <w:r>
              <w:t xml:space="preserve">Florida State Sales Tax (6.0%):</w:t>
            </w:r>
          </w:p>
        </w:tc>
        <w:tc>
          <w:tcPr/>
          <w:p>
            <w:pPr>
              <w:pStyle w:val="Compact"/>
              <w:jc w:val="left"/>
            </w:pPr>
            <w:r>
              <w:t xml:space="preserve">$8,085.00</w:t>
            </w:r>
          </w:p>
        </w:tc>
      </w:tr>
      <w:tr>
        <w:tc>
          <w:tcPr/>
          <w:p>
            <w:pPr>
              <w:pStyle w:val="Compact"/>
              <w:jc w:val="right"/>
            </w:pPr>
            <w:r>
              <w:t xml:space="preserve">Freight &amp; Handling (Miami, FL delivery):</w:t>
            </w:r>
          </w:p>
        </w:tc>
        <w:tc>
          <w:tcPr/>
          <w:p>
            <w:pPr>
              <w:pStyle w:val="Compact"/>
              <w:jc w:val="left"/>
            </w:pPr>
            <w:r>
              <w:t xml:space="preserve">$1,450.00</w:t>
            </w:r>
          </w:p>
        </w:tc>
      </w:tr>
      <w:tr>
        <w:tc>
          <w:tcPr/>
          <w:p>
            <w:pPr>
              <w:pStyle w:val="Compact"/>
              <w:jc w:val="right"/>
            </w:pPr>
            <w:r>
              <w:t xml:space="preserve">Grand Total (USD):</w:t>
            </w:r>
          </w:p>
        </w:tc>
        <w:tc>
          <w:tcPr/>
          <w:p>
            <w:pPr>
              <w:pStyle w:val="Compact"/>
              <w:jc w:val="left"/>
            </w:pPr>
            <w:r>
              <w:t xml:space="preserve">$144,285.00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undersigned</w:t>
      </w:r>
      <w:r>
        <w:t xml:space="preserve"> </w:t>
      </w:r>
      <w:r>
        <w:t xml:space="preserve">Academic Researcher</w:t>
      </w:r>
      <w:r>
        <w:t xml:space="preserve">, Dr. Elena M. Vasquez, acting under the authority of the University of Miami Research Institute, and Atlantic Scientific Instruments, Inc. All transactions governed by this document shall be conducted in accordance with the laws of the State of Florida and the</w:t>
      </w:r>
      <w:r>
        <w:t xml:space="preserve"> </w:t>
      </w:r>
      <w:r>
        <w:t xml:space="preserve">United States</w:t>
      </w:r>
      <w:r>
        <w:t xml:space="preserve">.</w:t>
      </w:r>
    </w:p>
    <w:p>
      <w:pPr>
        <w:numPr>
          <w:ilvl w:val="0"/>
          <w:numId w:val="1001"/>
        </w:numPr>
        <w:pStyle w:val="Compact"/>
      </w:pPr>
      <w:r>
        <w:t xml:space="preserve">The</w:t>
      </w:r>
      <w:r>
        <w:t xml:space="preserve"> </w:t>
      </w:r>
      <w:r>
        <w:t xml:space="preserve">Academic Researcher</w:t>
      </w:r>
      <w:r>
        <w:t xml:space="preserve"> </w:t>
      </w:r>
      <w:r>
        <w:t xml:space="preserve">shall be the primary point of contact for all technical specifications, delivery coordination, and acceptance inspections. All communications regarding this</w:t>
      </w:r>
      <w:r>
        <w:t xml:space="preserve"> </w:t>
      </w:r>
      <w:r>
        <w:t xml:space="preserve">Purchase Order</w:t>
      </w:r>
      <w:r>
        <w:t xml:space="preserve"> </w:t>
      </w:r>
      <w:r>
        <w:t xml:space="preserve">shall be directed to the contact information listed above in Miami, Florida,</w:t>
      </w:r>
      <w:r>
        <w:t xml:space="preserve"> </w:t>
      </w:r>
      <w:r>
        <w:t xml:space="preserve">United States</w:t>
      </w:r>
      <w:r>
        <w:t xml:space="preserve">.</w:t>
      </w:r>
    </w:p>
    <w:p>
      <w:pPr>
        <w:numPr>
          <w:ilvl w:val="0"/>
          <w:numId w:val="1001"/>
        </w:numPr>
        <w:pStyle w:val="Compact"/>
      </w:pPr>
      <w:r>
        <w:t xml:space="preserve">Delivery of all items shall be made to the University of Miami campus in Coral Gables, Miami, Florida,</w:t>
      </w:r>
      <w:r>
        <w:t xml:space="preserve"> </w:t>
      </w:r>
      <w:r>
        <w:t xml:space="preserve">United States</w:t>
      </w:r>
      <w:r>
        <w:t xml:space="preserve">. The vendor assumes full risk of loss until goods are received and inspected by the</w:t>
      </w:r>
      <w:r>
        <w:t xml:space="preserve"> </w:t>
      </w:r>
      <w:r>
        <w:t xml:space="preserve">Academic Researcher</w:t>
      </w:r>
      <w:r>
        <w:t xml:space="preserve"> </w:t>
      </w:r>
      <w:r>
        <w:t xml:space="preserve">or her designated laboratory manager at the Miami facility.</w:t>
      </w:r>
    </w:p>
    <w:p>
      <w:pPr>
        <w:numPr>
          <w:ilvl w:val="0"/>
          <w:numId w:val="1001"/>
        </w:numPr>
        <w:pStyle w:val="Compact"/>
      </w:pPr>
      <w:r>
        <w:t xml:space="preserve">Payment shall be remitted within thirty (30) calendar days of the date of a valid invoice, via electronic funds transfer (EFT) to the vendor's designated bank account. Late payments shall accrue interest at a rate of 1.5% per month, in compliance with Florida commercial code provisions applicable in Miami,</w:t>
      </w:r>
      <w:r>
        <w:t xml:space="preserve"> </w:t>
      </w:r>
      <w:r>
        <w:t xml:space="preserve">United States</w:t>
      </w:r>
      <w:r>
        <w:t xml:space="preserve">.</w:t>
      </w:r>
    </w:p>
    <w:p>
      <w:pPr>
        <w:numPr>
          <w:ilvl w:val="0"/>
          <w:numId w:val="1001"/>
        </w:numPr>
        <w:pStyle w:val="Compact"/>
      </w:pPr>
      <w:r>
        <w:t xml:space="preserve">All equipment must arrive in new, unused condition with full manufacturer warranties. The</w:t>
      </w:r>
      <w:r>
        <w:t xml:space="preserve"> </w:t>
      </w:r>
      <w:r>
        <w:t xml:space="preserve">Academic Researcher</w:t>
      </w:r>
      <w:r>
        <w:t xml:space="preserve"> </w:t>
      </w:r>
      <w:r>
        <w:t xml:space="preserve">reserves the right to reject any item that does not conform to the specifications outlined in this</w:t>
      </w:r>
      <w:r>
        <w:t xml:space="preserve"> </w:t>
      </w:r>
      <w:r>
        <w:t xml:space="preserve">Purchase Order</w:t>
      </w:r>
      <w:r>
        <w:t xml:space="preserve">. Rejected items must be replaced or refunded within fifteen (15) business days.</w:t>
      </w:r>
    </w:p>
    <w:p>
      <w:pPr>
        <w:numPr>
          <w:ilvl w:val="0"/>
          <w:numId w:val="1001"/>
        </w:numPr>
        <w:pStyle w:val="Compact"/>
      </w:pPr>
      <w:r>
        <w:t xml:space="preserve">The vendor shall provide a comprehensive installation and training session for the</w:t>
      </w:r>
      <w:r>
        <w:t xml:space="preserve"> </w:t>
      </w:r>
      <w:r>
        <w:t xml:space="preserve">Academic Researcher</w:t>
      </w:r>
      <w:r>
        <w:t xml:space="preserve"> </w:t>
      </w:r>
      <w:r>
        <w:t xml:space="preserve">and her graduate research assistants at the Miami laboratory within ten (10) business days of delivery. Training materials shall be provided in English.</w:t>
      </w:r>
    </w:p>
    <w:p>
      <w:pPr>
        <w:numPr>
          <w:ilvl w:val="0"/>
          <w:numId w:val="1001"/>
        </w:numPr>
        <w:pStyle w:val="Compact"/>
      </w:pPr>
      <w:r>
        <w:t xml:space="preserve">This</w:t>
      </w:r>
      <w:r>
        <w:t xml:space="preserve"> </w:t>
      </w:r>
      <w:r>
        <w:t xml:space="preserve">Purchase Order</w:t>
      </w:r>
      <w:r>
        <w:t xml:space="preserve"> </w:t>
      </w:r>
      <w:r>
        <w:t xml:space="preserve">is subject to the University of Miami's procurement policies and the federal grant terms under which the</w:t>
      </w:r>
      <w:r>
        <w:t xml:space="preserve"> </w:t>
      </w:r>
      <w:r>
        <w:t xml:space="preserve">Academic Researcher</w:t>
      </w:r>
      <w:r>
        <w:t xml:space="preserve"> </w:t>
      </w:r>
      <w:r>
        <w:t xml:space="preserve">operates (NSF Grant No. OCE-24-08812). Any modification to this document requires written amendment signed by both parties.</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binding arbitration in Miami-Dade County, Florida,</w:t>
      </w:r>
      <w:r>
        <w:t xml:space="preserve"> </w:t>
      </w:r>
      <w:r>
        <w:t xml:space="preserve">United States</w:t>
      </w:r>
      <w:r>
        <w:t xml:space="preserve">, in accordance with the rules of the American Arbitration Association.</w:t>
      </w:r>
    </w:p>
    <w:p>
      <w:pPr>
        <w:numPr>
          <w:ilvl w:val="0"/>
          <w:numId w:val="1001"/>
        </w:numPr>
        <w:pStyle w:val="Compact"/>
      </w:pPr>
      <w:r>
        <w:t xml:space="preserve">The vendor warrants that all products comply with applicable</w:t>
      </w:r>
      <w:r>
        <w:t xml:space="preserve"> </w:t>
      </w:r>
      <w:r>
        <w:t xml:space="preserve">United States</w:t>
      </w:r>
      <w:r>
        <w:t xml:space="preserve"> </w:t>
      </w:r>
      <w:r>
        <w:t xml:space="preserve">federal and state regulations, including but not limited to OSHA standards, EPA guidelines, and Florida Department of Environmental Protection requirements relevant to the Miami metropolitan area.</w:t>
      </w:r>
    </w:p>
    <w:p>
      <w:pPr>
        <w:numPr>
          <w:ilvl w:val="0"/>
          <w:numId w:val="1001"/>
        </w:numPr>
        <w:pStyle w:val="Compact"/>
      </w:pPr>
      <w:r>
        <w:t xml:space="preserve">This</w:t>
      </w:r>
      <w:r>
        <w:t xml:space="preserve"> </w:t>
      </w:r>
      <w:r>
        <w:t xml:space="preserve">Purchase Order</w:t>
      </w:r>
      <w:r>
        <w:t xml:space="preserve"> </w:t>
      </w:r>
      <w:r>
        <w:t xml:space="preserve">shall remain in full force and effect until all obligations of both parties have been satisfied. It may be terminated early by mutual written consent or by either party in the event of material breach, with thirty (30) days' written notice delivered to the Miami,</w:t>
      </w:r>
      <w:r>
        <w:t xml:space="preserve"> </w:t>
      </w:r>
      <w:r>
        <w:t xml:space="preserve">United States</w:t>
      </w:r>
      <w:r>
        <w:t xml:space="preserve"> </w:t>
      </w:r>
      <w:r>
        <w:t xml:space="preserve">addresses specified herein.</w:t>
      </w:r>
    </w:p>
    <w:p>
      <w:pPr>
        <w:pStyle w:val="FirstParagraph"/>
      </w:pPr>
      <w:r>
        <w:t xml:space="preserve">Authorization and Signatures</w:t>
      </w:r>
    </w:p>
    <w:p>
      <w:pPr>
        <w:pStyle w:val="BodyText"/>
      </w:pPr>
      <w:r>
        <w:rPr>
          <w:bCs/>
          <w:b/>
        </w:rPr>
        <w:t xml:space="preserve">For the Buyer (Academic Researcher):</w:t>
      </w:r>
    </w:p>
    <w:p>
      <w:pPr>
        <w:pStyle w:val="BodyText"/>
      </w:pPr>
      <w:r>
        <w:t xml:space="preserve">Dr. Elena M. Vasquez, Ph.D.</w:t>
      </w:r>
      <w:r>
        <w:br/>
      </w:r>
      <w:r>
        <w:t xml:space="preserve">Academic Researcher, Marine Biology</w:t>
      </w:r>
      <w:r>
        <w:br/>
      </w:r>
      <w:r>
        <w:t xml:space="preserve">University of Miami, Miami, FL, United States</w:t>
      </w:r>
      <w:r>
        <w:br/>
      </w:r>
      <w:r>
        <w:t xml:space="preserve">Date: _______________</w:t>
      </w:r>
    </w:p>
    <w:p>
      <w:pPr>
        <w:pStyle w:val="BodyText"/>
      </w:pPr>
      <w:r>
        <w:rPr>
          <w:bCs/>
          <w:b/>
        </w:rPr>
        <w:t xml:space="preserve">For the Vendor:</w:t>
      </w:r>
    </w:p>
    <w:p>
      <w:pPr>
        <w:pStyle w:val="BodyText"/>
      </w:pPr>
      <w:r>
        <w:t xml:space="preserve">James R. Thornton, Sales Director</w:t>
      </w:r>
      <w:r>
        <w:br/>
      </w:r>
      <w:r>
        <w:t xml:space="preserve">Atlantic Scientific Instruments, Inc.</w:t>
      </w:r>
      <w:r>
        <w:br/>
      </w:r>
      <w:r>
        <w:t xml:space="preserve">Miami, FL, United States</w:t>
      </w:r>
      <w:r>
        <w:br/>
      </w:r>
      <w:r>
        <w:t xml:space="preserve">Date: _______________</w:t>
      </w:r>
    </w:p>
    <w:p>
      <w:pPr>
        <w:pStyle w:val="BodyText"/>
      </w:pPr>
      <w:r>
        <w:t xml:space="preserve">This Purchase Order document (No. USM-AR-2025-04782) was prepared for the use of an Academic Researcher based in Miami, Florida, United States. All monetary values are expressed in United States Dollars (USD). This document is valid for a period of ninety (90) days from the date of issue. © 2025 University of Miami Research Institute Procurement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United States Miami</dc:title>
  <dc:creator/>
  <dc:language>en</dc:language>
  <cp:keywords/>
  <dcterms:created xsi:type="dcterms:W3CDTF">2026-10-10T07:03:47Z</dcterms:created>
  <dcterms:modified xsi:type="dcterms:W3CDTF">2026-10-10T07:03:47Z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