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2" w:name="purchase-order"/>
    <w:p>
      <w:pPr>
        <w:pStyle w:val="Heading1"/>
      </w:pPr>
      <w:r>
        <w:t xml:space="preserve">PURCHASE ORDER</w:t>
      </w:r>
    </w:p>
    <w:p>
      <w:pPr>
        <w:pStyle w:val="FirstParagraph"/>
      </w:pPr>
      <w:r>
        <w:t xml:space="preserve">Academic Researcher Procurement — United States San Francisco</w:t>
      </w:r>
    </w:p>
    <w:bookmarkStart w:id="20" w:name="issuing-party-buyer"/>
    <w:p>
      <w:pPr>
        <w:pStyle w:val="Heading3"/>
      </w:pPr>
      <w:r>
        <w:t xml:space="preserve">Issuing Party (Buyer)</w:t>
      </w:r>
    </w:p>
    <w:p>
      <w:pPr>
        <w:pStyle w:val="FirstParagraph"/>
      </w:pPr>
      <w:r>
        <w:rPr>
          <w:bCs/>
          <w:b/>
        </w:rPr>
        <w:t xml:space="preserve">Golden Gate University Research Institute</w:t>
      </w:r>
    </w:p>
    <w:p>
      <w:pPr>
        <w:pStyle w:val="BodyText"/>
      </w:pPr>
      <w:r>
        <w:t xml:space="preserve">1200 University Avenue, Suite 450</w:t>
      </w:r>
    </w:p>
    <w:p>
      <w:pPr>
        <w:pStyle w:val="BodyText"/>
      </w:pPr>
      <w:r>
        <w:t xml:space="preserve">San Francisco, California 94103</w:t>
      </w:r>
    </w:p>
    <w:p>
      <w:pPr>
        <w:pStyle w:val="BodyText"/>
      </w:pPr>
      <w:r>
        <w:t xml:space="preserve">United States</w:t>
      </w:r>
    </w:p>
    <w:p>
      <w:pPr>
        <w:pStyle w:val="BodyText"/>
      </w:pPr>
      <w:r>
        <w:t xml:space="preserve">Phone: (415) 555-0187</w:t>
      </w:r>
    </w:p>
    <w:p>
      <w:pPr>
        <w:pStyle w:val="BodyText"/>
      </w:pPr>
      <w:r>
        <w:t xml:space="preserve">Email: procurement@ggu-ri.edu</w:t>
      </w:r>
    </w:p>
    <w:p>
      <w:pPr>
        <w:pStyle w:val="BodyText"/>
      </w:pPr>
      <w:r>
        <w:t xml:space="preserve">Tax ID: 94-2847561</w:t>
      </w:r>
    </w:p>
    <w:bookmarkEnd w:id="20"/>
    <w:bookmarkStart w:id="21" w:name="receiving-party-seller"/>
    <w:p>
      <w:pPr>
        <w:pStyle w:val="Heading3"/>
      </w:pPr>
      <w:r>
        <w:t xml:space="preserve">Receiving Party (Seller)</w:t>
      </w:r>
    </w:p>
    <w:p>
      <w:pPr>
        <w:pStyle w:val="FirstParagraph"/>
      </w:pPr>
      <w:r>
        <w:rPr>
          <w:bCs/>
          <w:b/>
        </w:rPr>
        <w:t xml:space="preserve">Bay Area Scientific Supply Co.</w:t>
      </w:r>
    </w:p>
    <w:p>
      <w:pPr>
        <w:pStyle w:val="BodyText"/>
      </w:pPr>
      <w:r>
        <w:t xml:space="preserve">880 Market Street, Floor 12</w:t>
      </w:r>
    </w:p>
    <w:p>
      <w:pPr>
        <w:pStyle w:val="BodyText"/>
      </w:pPr>
      <w:r>
        <w:t xml:space="preserve">San Francisco, California 94102</w:t>
      </w:r>
    </w:p>
    <w:p>
      <w:pPr>
        <w:pStyle w:val="BodyText"/>
      </w:pPr>
      <w:r>
        <w:t xml:space="preserve">United States</w:t>
      </w:r>
    </w:p>
    <w:p>
      <w:pPr>
        <w:pStyle w:val="BodyText"/>
      </w:pPr>
      <w:r>
        <w:t xml:space="preserve">Phone: (415) 555-0342</w:t>
      </w:r>
    </w:p>
    <w:p>
      <w:pPr>
        <w:pStyle w:val="BodyText"/>
      </w:pPr>
      <w:r>
        <w:t xml:space="preserve">Email: sales@bayareascientific.com</w:t>
      </w:r>
    </w:p>
    <w:p>
      <w:pPr>
        <w:pStyle w:val="BodyText"/>
      </w:pPr>
      <w:r>
        <w:t xml:space="preserve">Tax ID: 94-7731209</w:t>
      </w:r>
    </w:p>
    <w:bookmarkEnd w:id="21"/>
    <w:p>
      <w:pPr>
        <w:pStyle w:val="BodyText"/>
      </w:pPr>
      <w:r>
        <w:rPr>
          <w:bCs/>
          <w:b/>
        </w:rPr>
        <w:t xml:space="preserve">Purchase Order Number:</w:t>
      </w:r>
      <w:r>
        <w:t xml:space="preserve"> </w:t>
      </w:r>
      <w:r>
        <w:t xml:space="preserve">PO-SF-2025-04872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Shipping Method:</w:t>
      </w:r>
      <w:r>
        <w:t xml:space="preserve"> </w:t>
      </w:r>
      <w:r>
        <w:t xml:space="preserve">Ground Freight (San Francisco, United States)</w:t>
      </w:r>
    </w:p>
    <w:p>
      <w:pPr>
        <w:pStyle w:val="BodyText"/>
      </w:pPr>
      <w:r>
        <w:rPr>
          <w:bCs/>
          <w:b/>
        </w:rPr>
        <w:t xml:space="preserve">Incoterms:</w:t>
      </w:r>
      <w:r>
        <w:t xml:space="preserve"> </w:t>
      </w:r>
      <w:r>
        <w:t xml:space="preserve">DDP San Francisco, CA</w:t>
      </w:r>
    </w:p>
    <w:p>
      <w:pPr>
        <w:pStyle w:val="BodyText"/>
      </w:pPr>
      <w:r>
        <w:t xml:space="preserve">This Purchase Order is issued by the Golden Gate University Research Institute, located in San Francisco, United States, to procure specialized laboratory equipment, research materials, and professional services required to support the ongoing work of a senior</w:t>
      </w:r>
      <w:r>
        <w:t xml:space="preserve"> </w:t>
      </w:r>
      <w:r>
        <w:rPr>
          <w:bCs/>
          <w:b/>
        </w:rPr>
        <w:t xml:space="preserve">Academic Researcher</w:t>
      </w:r>
      <w:r>
        <w:t xml:space="preserve"> </w:t>
      </w:r>
      <w:r>
        <w:t xml:space="preserve">in the Department of Computational Biology. This Purchase Order governs all terms, conditions, pricing, and delivery obligations between the parties as specified herein. The Academic Researcher, Dr. Elena Vasquez, Ph.D., will be the primary end-user of all items and services listed in this Purchase Order and will oversee the acceptance of all deliverables upon arrival in San Francisco, United States.</w:t>
      </w:r>
    </w:p>
    <w:p>
      <w:pPr>
        <w:pStyle w:val="BodyText"/>
      </w:pPr>
      <w:r>
        <w:t xml:space="preserve">Line Items — Purchase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High-Performance Workstation (64-core CPU, 512GB RAM, dual GPU) for Academic Researcher computational modeling</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r>
      <w:tr>
        <w:tc>
          <w:tcPr/>
          <w:p>
            <w:pPr>
              <w:pStyle w:val="Compact"/>
              <w:jc w:val="left"/>
            </w:pPr>
            <w:r>
              <w:t xml:space="preserve">2</w:t>
            </w:r>
          </w:p>
        </w:tc>
        <w:tc>
          <w:tcPr/>
          <w:p>
            <w:pPr>
              <w:pStyle w:val="Compact"/>
              <w:jc w:val="left"/>
            </w:pPr>
            <w:r>
              <w:t xml:space="preserve">Next-Generation DNA Sequencing Kit (Illumina NovaSeq 6000 reagent set, 12 runs)</w:t>
            </w:r>
          </w:p>
        </w:tc>
        <w:tc>
          <w:tcPr/>
          <w:p>
            <w:pPr>
              <w:pStyle w:val="Compact"/>
              <w:jc w:val="left"/>
            </w:pPr>
            <w:r>
              <w:t xml:space="preserve">1</w:t>
            </w:r>
          </w:p>
        </w:tc>
        <w:tc>
          <w:tcPr/>
          <w:p>
            <w:pPr>
              <w:pStyle w:val="Compact"/>
              <w:jc w:val="left"/>
            </w:pPr>
            <w:r>
              <w:t xml:space="preserve">$8,720.00</w:t>
            </w:r>
          </w:p>
        </w:tc>
        <w:tc>
          <w:tcPr/>
          <w:p>
            <w:pPr>
              <w:pStyle w:val="Compact"/>
              <w:jc w:val="left"/>
            </w:pPr>
            <w:r>
              <w:t xml:space="preserve">$8,720.00</w:t>
            </w:r>
          </w:p>
        </w:tc>
      </w:tr>
      <w:tr>
        <w:tc>
          <w:tcPr/>
          <w:p>
            <w:pPr>
              <w:pStyle w:val="Compact"/>
              <w:jc w:val="left"/>
            </w:pPr>
            <w:r>
              <w:t xml:space="preserve">3</w:t>
            </w:r>
          </w:p>
        </w:tc>
        <w:tc>
          <w:tcPr/>
          <w:p>
            <w:pPr>
              <w:pStyle w:val="Compact"/>
              <w:jc w:val="left"/>
            </w:pPr>
            <w:r>
              <w:t xml:space="preserve">Ultra-Low Temperature Freezer (-80°C, 470L) for biological sample storage</w:t>
            </w:r>
          </w:p>
        </w:tc>
        <w:tc>
          <w:tcPr/>
          <w:p>
            <w:pPr>
              <w:pStyle w:val="Compact"/>
              <w:jc w:val="left"/>
            </w:pPr>
            <w:r>
              <w:t xml:space="preserve">1</w:t>
            </w:r>
          </w:p>
        </w:tc>
        <w:tc>
          <w:tcPr/>
          <w:p>
            <w:pPr>
              <w:pStyle w:val="Compact"/>
              <w:jc w:val="left"/>
            </w:pPr>
            <w:r>
              <w:t xml:space="preserve">$6,340.00</w:t>
            </w:r>
          </w:p>
        </w:tc>
        <w:tc>
          <w:tcPr/>
          <w:p>
            <w:pPr>
              <w:pStyle w:val="Compact"/>
              <w:jc w:val="left"/>
            </w:pPr>
            <w:r>
              <w:t xml:space="preserve">$6,340.00</w:t>
            </w:r>
          </w:p>
        </w:tc>
      </w:tr>
      <w:tr>
        <w:tc>
          <w:tcPr/>
          <w:p>
            <w:pPr>
              <w:pStyle w:val="Compact"/>
              <w:jc w:val="left"/>
            </w:pPr>
            <w:r>
              <w:t xml:space="preserve">4</w:t>
            </w:r>
          </w:p>
        </w:tc>
        <w:tc>
          <w:tcPr/>
          <w:p>
            <w:pPr>
              <w:pStyle w:val="Compact"/>
              <w:jc w:val="left"/>
            </w:pPr>
            <w:r>
              <w:t xml:space="preserve">Professional-grade Microscope (Confocal, 100x oil immersion) for Academic Researcher cell imaging</w:t>
            </w:r>
          </w:p>
        </w:tc>
        <w:tc>
          <w:tcPr/>
          <w:p>
            <w:pPr>
              <w:pStyle w:val="Compact"/>
              <w:jc w:val="left"/>
            </w:pPr>
            <w:r>
              <w:t xml:space="preserve">1</w:t>
            </w:r>
          </w:p>
        </w:tc>
        <w:tc>
          <w:tcPr/>
          <w:p>
            <w:pPr>
              <w:pStyle w:val="Compact"/>
              <w:jc w:val="left"/>
            </w:pPr>
            <w:r>
              <w:t xml:space="preserve">$45,200.00</w:t>
            </w:r>
          </w:p>
        </w:tc>
        <w:tc>
          <w:tcPr/>
          <w:p>
            <w:pPr>
              <w:pStyle w:val="Compact"/>
              <w:jc w:val="left"/>
            </w:pPr>
            <w:r>
              <w:t xml:space="preserve">$45,200.00</w:t>
            </w:r>
          </w:p>
        </w:tc>
      </w:tr>
      <w:tr>
        <w:tc>
          <w:tcPr/>
          <w:p>
            <w:pPr>
              <w:pStyle w:val="Compact"/>
              <w:jc w:val="left"/>
            </w:pPr>
            <w:r>
              <w:t xml:space="preserve">5</w:t>
            </w:r>
          </w:p>
        </w:tc>
        <w:tc>
          <w:tcPr/>
          <w:p>
            <w:pPr>
              <w:pStyle w:val="Compact"/>
              <w:jc w:val="left"/>
            </w:pPr>
            <w:r>
              <w:t xml:space="preserve">Annual Software License: R Statistical Computing Environment (Enterprise, 5 seats)</w:t>
            </w:r>
          </w:p>
        </w:tc>
        <w:tc>
          <w:tcPr/>
          <w:p>
            <w:pPr>
              <w:pStyle w:val="Compact"/>
              <w:jc w:val="left"/>
            </w:pPr>
            <w:r>
              <w:t xml:space="preserve">1</w:t>
            </w:r>
          </w:p>
        </w:tc>
        <w:tc>
          <w:tcPr/>
          <w:p>
            <w:pPr>
              <w:pStyle w:val="Compact"/>
              <w:jc w:val="left"/>
            </w:pPr>
            <w:r>
              <w:t xml:space="preserve">$3,150.00</w:t>
            </w:r>
          </w:p>
        </w:tc>
        <w:tc>
          <w:tcPr/>
          <w:p>
            <w:pPr>
              <w:pStyle w:val="Compact"/>
              <w:jc w:val="left"/>
            </w:pPr>
            <w:r>
              <w:t xml:space="preserve">$3,150.00</w:t>
            </w:r>
          </w:p>
        </w:tc>
      </w:tr>
      <w:tr>
        <w:tc>
          <w:tcPr/>
          <w:p>
            <w:pPr>
              <w:pStyle w:val="Compact"/>
              <w:jc w:val="left"/>
            </w:pPr>
            <w:r>
              <w:t xml:space="preserve">6</w:t>
            </w:r>
          </w:p>
        </w:tc>
        <w:tc>
          <w:tcPr/>
          <w:p>
            <w:pPr>
              <w:pStyle w:val="Compact"/>
              <w:jc w:val="left"/>
            </w:pPr>
            <w:r>
              <w:t xml:space="preserve">Peer-Reviewed Journal Access Bundle (Elsevier + Springer Nature, 3-year institutional license)</w:t>
            </w:r>
          </w:p>
        </w:tc>
        <w:tc>
          <w:tcPr/>
          <w:p>
            <w:pPr>
              <w:pStyle w:val="Compact"/>
              <w:jc w:val="left"/>
            </w:pPr>
            <w:r>
              <w:t xml:space="preserve">1</w:t>
            </w:r>
          </w:p>
        </w:tc>
        <w:tc>
          <w:tcPr/>
          <w:p>
            <w:pPr>
              <w:pStyle w:val="Compact"/>
              <w:jc w:val="left"/>
            </w:pPr>
            <w:r>
              <w:t xml:space="preserve">$18,900.00</w:t>
            </w:r>
          </w:p>
        </w:tc>
        <w:tc>
          <w:tcPr/>
          <w:p>
            <w:pPr>
              <w:pStyle w:val="Compact"/>
              <w:jc w:val="left"/>
            </w:pPr>
            <w:r>
              <w:t xml:space="preserve">$18,900.00</w:t>
            </w:r>
          </w:p>
        </w:tc>
      </w:tr>
      <w:tr>
        <w:tc>
          <w:tcPr/>
          <w:p>
            <w:pPr>
              <w:pStyle w:val="Compact"/>
              <w:jc w:val="left"/>
            </w:pPr>
            <w:r>
              <w:t xml:space="preserve">7</w:t>
            </w:r>
          </w:p>
        </w:tc>
        <w:tc>
          <w:tcPr/>
          <w:p>
            <w:pPr>
              <w:pStyle w:val="Compact"/>
              <w:jc w:val="left"/>
            </w:pPr>
            <w:r>
              <w:t xml:space="preserve">Custom Laboratory Bench (Stainless steel, 8ft, with fume hood integration) for San Francisco lab facility</w:t>
            </w:r>
          </w:p>
        </w:tc>
        <w:tc>
          <w:tcPr/>
          <w:p>
            <w:pPr>
              <w:pStyle w:val="Compact"/>
              <w:jc w:val="left"/>
            </w:pPr>
            <w:r>
              <w:t xml:space="preserve">3</w:t>
            </w:r>
          </w:p>
        </w:tc>
        <w:tc>
          <w:tcPr/>
          <w:p>
            <w:pPr>
              <w:pStyle w:val="Compact"/>
              <w:jc w:val="left"/>
            </w:pPr>
            <w:r>
              <w:t xml:space="preserve">$4,875.00</w:t>
            </w:r>
          </w:p>
        </w:tc>
        <w:tc>
          <w:tcPr/>
          <w:p>
            <w:pPr>
              <w:pStyle w:val="Compact"/>
              <w:jc w:val="left"/>
            </w:pPr>
            <w:r>
              <w:t xml:space="preserve">$14,625.00</w:t>
            </w:r>
          </w:p>
        </w:tc>
      </w:tr>
      <w:tr>
        <w:tc>
          <w:tcPr/>
          <w:p>
            <w:pPr>
              <w:pStyle w:val="Compact"/>
              <w:jc w:val="left"/>
            </w:pPr>
            <w:r>
              <w:t xml:space="preserve">8</w:t>
            </w:r>
          </w:p>
        </w:tc>
        <w:tc>
          <w:tcPr/>
          <w:p>
            <w:pPr>
              <w:pStyle w:val="Compact"/>
              <w:jc w:val="left"/>
            </w:pPr>
            <w:r>
              <w:t xml:space="preserve">Professional Installation and Calibration Service (all equipment, on-site in San Francisco, United States)</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9</w:t>
            </w:r>
          </w:p>
        </w:tc>
        <w:tc>
          <w:tcPr/>
          <w:p>
            <w:pPr>
              <w:pStyle w:val="Compact"/>
              <w:jc w:val="left"/>
            </w:pPr>
            <w:r>
              <w:t xml:space="preserve">Academic Researcher Training Program (2-day on-site workshop, equipment operation and safety protocols)</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10</w:t>
            </w:r>
          </w:p>
        </w:tc>
        <w:tc>
          <w:tcPr/>
          <w:p>
            <w:pPr>
              <w:pStyle w:val="Compact"/>
              <w:jc w:val="left"/>
            </w:pPr>
            <w:r>
              <w:t xml:space="preserve">Consumable Reagents Package (PCR master mix, primers, buffers — 6-month supply)</w:t>
            </w:r>
          </w:p>
        </w:tc>
        <w:tc>
          <w:tcPr/>
          <w:p>
            <w:pPr>
              <w:pStyle w:val="Compact"/>
              <w:jc w:val="left"/>
            </w:pPr>
            <w:r>
              <w:t xml:space="preserve">1</w:t>
            </w:r>
          </w:p>
        </w:tc>
        <w:tc>
          <w:tcPr/>
          <w:p>
            <w:pPr>
              <w:pStyle w:val="Compact"/>
              <w:jc w:val="left"/>
            </w:pPr>
            <w:r>
              <w:t xml:space="preserve">$5,890.00</w:t>
            </w:r>
          </w:p>
        </w:tc>
        <w:tc>
          <w:tcPr/>
          <w:p>
            <w:pPr>
              <w:pStyle w:val="Compact"/>
              <w:jc w:val="left"/>
            </w:pPr>
            <w:r>
              <w:t xml:space="preserve">$5,890.00</w:t>
            </w:r>
          </w:p>
        </w:tc>
      </w:tr>
    </w:tbl>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left"/>
            </w:pPr>
            <w:r>
              <w:rPr>
                <w:bCs/>
                <w:b/>
              </w:rPr>
              <w:t xml:space="preserve">Subtotal:</w:t>
            </w:r>
          </w:p>
        </w:tc>
        <w:tc>
          <w:tcPr/>
          <w:p>
            <w:pPr>
              <w:pStyle w:val="Compact"/>
              <w:jc w:val="left"/>
            </w:pPr>
            <w:r>
              <w:t xml:space="preserve">$139,425.00</w:t>
            </w:r>
          </w:p>
        </w:tc>
      </w:tr>
      <w:tr>
        <w:tc>
          <w:tcPr>
            <w:gridSpan w:val="4"/>
          </w:tcPr>
          <w:p>
            <w:pPr>
              <w:pStyle w:val="Compact"/>
              <w:jc w:val="left"/>
            </w:pPr>
            <w:r>
              <w:rPr>
                <w:bCs/>
                <w:b/>
              </w:rPr>
              <w:t xml:space="preserve">California Sales Tax (8.5%):</w:t>
            </w:r>
          </w:p>
        </w:tc>
        <w:tc>
          <w:tcPr/>
          <w:p>
            <w:pPr>
              <w:pStyle w:val="Compact"/>
              <w:jc w:val="left"/>
            </w:pPr>
            <w:r>
              <w:t xml:space="preserve">$11,851.13</w:t>
            </w:r>
          </w:p>
        </w:tc>
      </w:tr>
      <w:tr>
        <w:tc>
          <w:tcPr>
            <w:gridSpan w:val="4"/>
          </w:tcPr>
          <w:p>
            <w:pPr>
              <w:pStyle w:val="Compact"/>
              <w:jc w:val="left"/>
            </w:pPr>
            <w:r>
              <w:rPr>
                <w:bCs/>
                <w:b/>
              </w:rPr>
              <w:t xml:space="preserve">Freight &amp; Handling (San Francisco, United States):</w:t>
            </w:r>
          </w:p>
        </w:tc>
        <w:tc>
          <w:tcPr/>
          <w:p>
            <w:pPr>
              <w:pStyle w:val="Compact"/>
              <w:jc w:val="left"/>
            </w:pPr>
            <w:r>
              <w:t xml:space="preserve">$1,275.00</w:t>
            </w:r>
          </w:p>
        </w:tc>
      </w:tr>
      <w:tr>
        <w:tc>
          <w:tcPr>
            <w:gridSpan w:val="4"/>
          </w:tcPr>
          <w:p>
            <w:pPr>
              <w:pStyle w:val="Compact"/>
              <w:jc w:val="left"/>
            </w:pPr>
            <w:r>
              <w:rPr>
                <w:bCs/>
                <w:b/>
              </w:rPr>
              <w:t xml:space="preserve">TOTAL PURCHASE ORDER AMOUNT (USD):</w:t>
            </w:r>
          </w:p>
        </w:tc>
        <w:tc>
          <w:tcPr/>
          <w:p>
            <w:pPr>
              <w:pStyle w:val="Compact"/>
              <w:jc w:val="left"/>
            </w:pPr>
            <w:r>
              <w:rPr>
                <w:bCs/>
                <w:b/>
              </w:rPr>
              <w:t xml:space="preserve">$152,551.13</w:t>
            </w:r>
          </w:p>
        </w:tc>
      </w:tr>
    </w:tbl>
    <w:p>
      <w:pPr>
        <w:pStyle w:val="BodyText"/>
      </w:pPr>
      <w:r>
        <w:t xml:space="preserve">Terms and Conditions</w:t>
      </w:r>
    </w:p>
    <w:p>
      <w:pPr>
        <w:numPr>
          <w:ilvl w:val="0"/>
          <w:numId w:val="1001"/>
        </w:numPr>
        <w:pStyle w:val="Compact"/>
      </w:pPr>
      <w:r>
        <w:t xml:space="preserve">This Purchase Order constitutes a binding agreement between the Golden Gate University Research Institute and Bay Area Scientific Supply Co. for the procurement of goods and services as enumerated above. All items are intended to support the research activities of the designated Academic Researcher, Dr. Elena Vasquez, operating out of the San Francisco, United States campus.</w:t>
      </w:r>
    </w:p>
    <w:p>
      <w:pPr>
        <w:numPr>
          <w:ilvl w:val="0"/>
          <w:numId w:val="1001"/>
        </w:numPr>
        <w:pStyle w:val="Compact"/>
      </w:pPr>
      <w:r>
        <w:t xml:space="preserve">Delivery of all items listed in this Purchase Order shall be made to the receiving address in San Francisco, United States, no later than July 15, 2025. Late delivery beyond five (5) business days shall entitle the Buyer to a 2% per diem penalty on the total Purchase Order value.</w:t>
      </w:r>
    </w:p>
    <w:p>
      <w:pPr>
        <w:numPr>
          <w:ilvl w:val="0"/>
          <w:numId w:val="1001"/>
        </w:numPr>
        <w:pStyle w:val="Compact"/>
      </w:pPr>
      <w:r>
        <w:t xml:space="preserve">All equipment must comply with California State safety regulations and the Occupational Safety and Health Administration (OSHA) standards applicable to laboratory environments in the United States. The Academic Researcher reserves the right to reject any item that does not meet the specified technical parameters outlined in the attached technical annex.</w:t>
      </w:r>
    </w:p>
    <w:p>
      <w:pPr>
        <w:numPr>
          <w:ilvl w:val="0"/>
          <w:numId w:val="1001"/>
        </w:numPr>
        <w:pStyle w:val="Compact"/>
      </w:pPr>
      <w:r>
        <w:t xml:space="preserve">Payment shall be remitted within thirty (30) calendar days of the date of invoice, provided that all goods and services have been inspected and accepted by the Academic Researcher and the Department Head. Payment will be issued via electronic funds transfer (EFT) to the account designated by the Seller.</w:t>
      </w:r>
    </w:p>
    <w:p>
      <w:pPr>
        <w:numPr>
          <w:ilvl w:val="0"/>
          <w:numId w:val="1001"/>
        </w:numPr>
        <w:pStyle w:val="Compact"/>
      </w:pPr>
      <w:r>
        <w:t xml:space="preserve">The Seller warrants that all equipment is new, free from defects, and covered by a minimum two-year manufacturer's warranty. The Academic Researcher shall be provided with all warranty documentation, user manuals, and technical support contacts upon delivery in San Francisco, United States.</w:t>
      </w:r>
    </w:p>
    <w:p>
      <w:pPr>
        <w:numPr>
          <w:ilvl w:val="0"/>
          <w:numId w:val="1001"/>
        </w:numPr>
        <w:pStyle w:val="Compact"/>
      </w:pPr>
      <w:r>
        <w:t xml:space="preserve">Intellectual property generated through the use of procured materials by the Academic Researcher shall remain the sole property of the Golden Gate University Research Institute. This Purchase Order does not transfer any intellectual property rights to the Seller.</w:t>
      </w:r>
    </w:p>
    <w:p>
      <w:pPr>
        <w:numPr>
          <w:ilvl w:val="0"/>
          <w:numId w:val="1001"/>
        </w:numPr>
        <w:pStyle w:val="Compact"/>
      </w:pPr>
      <w:r>
        <w:t xml:space="preserve">This Purchase Order is governed by the laws of the State of California, United States. Any disputes arising from this Purchase Order shall be resolved through binding arbitration in San Francisco, California, in accordance with the rules of the American Arbitration Association.</w:t>
      </w:r>
    </w:p>
    <w:p>
      <w:pPr>
        <w:numPr>
          <w:ilvl w:val="0"/>
          <w:numId w:val="1001"/>
        </w:numPr>
        <w:pStyle w:val="Compact"/>
      </w:pPr>
      <w:r>
        <w:t xml:space="preserve">The Seller shall maintain adequate liability insurance (minimum $2,000,000) for the duration of this Purchase Order and shall provide a certificate of insurance upon request.</w:t>
      </w:r>
    </w:p>
    <w:p>
      <w:pPr>
        <w:numPr>
          <w:ilvl w:val="0"/>
          <w:numId w:val="1001"/>
        </w:numPr>
        <w:pStyle w:val="Compact"/>
      </w:pPr>
      <w:r>
        <w:t xml:space="preserve">Any modifications to this Purchase Order must be made in writing and signed by authorized representatives of both parties. Verbal agreements or email communications shall not constitute a valid amendment to this Purchase Order.</w:t>
      </w:r>
    </w:p>
    <w:p>
      <w:pPr>
        <w:numPr>
          <w:ilvl w:val="0"/>
          <w:numId w:val="1001"/>
        </w:numPr>
        <w:pStyle w:val="Compact"/>
      </w:pPr>
      <w:r>
        <w:t xml:space="preserve">This Purchase Order is valid for acceptance within ten (10) business days of the issue date. Failure to accept within this period shall render this Purchase Order null and void.</w:t>
      </w:r>
    </w:p>
    <w:p>
      <w:pPr>
        <w:pStyle w:val="FirstParagraph"/>
      </w:pPr>
      <w:r>
        <w:t xml:space="preserve">Acceptance and Authorization</w:t>
      </w:r>
    </w:p>
    <w:p>
      <w:pPr>
        <w:pStyle w:val="BodyText"/>
      </w:pPr>
      <w:r>
        <w:t xml:space="preserve">By signing below, both parties acknowledge and agree to all terms, conditions, and specifications set forth in this Purchase Order. The Academic Researcher, Dr. Elena Vasquez, confirms that the items listed herein are necessary and appropriate for the ongoing research program conducted at the San Francisco, United States facility.</w:t>
      </w:r>
    </w:p>
    <w:p>
      <w:pPr>
        <w:pStyle w:val="BodyText"/>
      </w:pPr>
      <w:r>
        <w:rPr>
          <w:bCs/>
          <w:b/>
        </w:rPr>
        <w:t xml:space="preserve">For the Buyer (Golden Gate University Research Institute):</w:t>
      </w:r>
    </w:p>
    <w:p>
      <w:pPr>
        <w:pStyle w:val="BodyText"/>
      </w:pPr>
      <w:r>
        <w:t xml:space="preserve">Dr. Marcus Chen, Director of Research Procurement</w:t>
      </w:r>
    </w:p>
    <w:p>
      <w:pPr>
        <w:pStyle w:val="BodyText"/>
      </w:pPr>
      <w:r>
        <w:t xml:space="preserve">Date: ______________________</w:t>
      </w:r>
    </w:p>
    <w:p>
      <w:pPr>
        <w:pStyle w:val="BodyText"/>
      </w:pPr>
      <w:r>
        <w:rPr>
          <w:bCs/>
          <w:b/>
        </w:rPr>
        <w:t xml:space="preserve">For the Seller (Bay Area Scientific Supply Co.):</w:t>
      </w:r>
    </w:p>
    <w:p>
      <w:pPr>
        <w:pStyle w:val="BodyText"/>
      </w:pPr>
      <w:r>
        <w:t xml:space="preserve">Sarah Okonkwo, Vice President of Sales</w:t>
      </w:r>
    </w:p>
    <w:p>
      <w:pPr>
        <w:pStyle w:val="BodyText"/>
      </w:pPr>
      <w:r>
        <w:t xml:space="preserve">Date: ______________________</w:t>
      </w:r>
    </w:p>
    <w:p>
      <w:pPr>
        <w:pStyle w:val="BodyText"/>
      </w:pPr>
      <w:r>
        <w:rPr>
          <w:bCs/>
          <w:b/>
        </w:rPr>
        <w:t xml:space="preserve">Academic Researcher Acknowledgment:</w:t>
      </w:r>
    </w:p>
    <w:p>
      <w:pPr>
        <w:pStyle w:val="BodyText"/>
      </w:pPr>
      <w:r>
        <w:t xml:space="preserve">Dr. Elena Vasquez, Ph.D., Senior Academic Researcher</w:t>
      </w:r>
    </w:p>
    <w:p>
      <w:pPr>
        <w:pStyle w:val="BodyText"/>
      </w:pPr>
      <w:r>
        <w:t xml:space="preserve">Department of Computational Biology, San Francisco, United States</w:t>
      </w:r>
    </w:p>
    <w:p>
      <w:pPr>
        <w:pStyle w:val="BodyText"/>
      </w:pPr>
      <w:r>
        <w:t xml:space="preserve">Date: ______________________</w:t>
      </w:r>
    </w:p>
    <w:p>
      <w:pPr>
        <w:pStyle w:val="BodyText"/>
      </w:pPr>
      <w:r>
        <w:rPr>
          <w:bCs/>
          <w:b/>
        </w:rPr>
        <w:t xml:space="preserve">Finance Department Approval:</w:t>
      </w:r>
    </w:p>
    <w:p>
      <w:pPr>
        <w:pStyle w:val="BodyText"/>
      </w:pPr>
      <w:r>
        <w:t xml:space="preserve">James Whitfield, Chief Financial Officer</w:t>
      </w:r>
    </w:p>
    <w:p>
      <w:pPr>
        <w:pStyle w:val="BodyText"/>
      </w:pPr>
      <w:r>
        <w:t xml:space="preserve">Date: ______________________</w:t>
      </w:r>
    </w:p>
    <w:p>
      <w:pPr>
        <w:pStyle w:val="BodyText"/>
      </w:pPr>
      <w:r>
        <w:t xml:space="preserve">This Purchase Order (PO-SF-2025-04872) was generated and issued in San Francisco, United States. All communications regarding this Purchase Order should reference the Purchase Order number prominently. This document is the property of the Golden Gate University Research Institute and is intended solely for the use of the Academic Researcher and authorized institutional personnel.</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United States San Francisco</dc:title>
  <dc:creator/>
  <dc:language>en</dc:language>
  <cp:keywords/>
  <dcterms:created xsi:type="dcterms:W3CDTF">2026-10-10T07:09:12Z</dcterms:created>
  <dcterms:modified xsi:type="dcterms:W3CDTF">2026-10-10T07:09:12Z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