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urchase-order"/>
    <w:p>
      <w:pPr>
        <w:pStyle w:val="Heading1"/>
      </w:pPr>
      <w:r>
        <w:t xml:space="preserve">PURCHASE ORDER</w:t>
      </w:r>
    </w:p>
    <w:p>
      <w:pPr>
        <w:pStyle w:val="FirstParagraph"/>
      </w:pPr>
      <w:r>
        <w:rPr>
          <w:bCs/>
          <w:b/>
        </w:rPr>
        <w:t xml:space="preserve">Meridian Corporate Solutions S.A.</w:t>
      </w:r>
    </w:p>
    <w:p>
      <w:pPr>
        <w:pStyle w:val="BodyText"/>
      </w:pPr>
      <w:r>
        <w:t xml:space="preserve">Av. Corrientes 1250, Piso 14, C1043AAB, Buenos Aires, Argentina</w:t>
      </w:r>
    </w:p>
    <w:p>
      <w:pPr>
        <w:pStyle w:val="BodyText"/>
      </w:pPr>
      <w:r>
        <w:t xml:space="preserve">CUIT: 30-71234567-8 | Tel: +54 11 4321-5678 | Email: procurement@meridiancorp.com.ar</w:t>
      </w:r>
    </w:p>
    <w:bookmarkEnd w:id="20"/>
    <w:p>
      <w:pPr>
        <w:pStyle w:val="BodyText"/>
      </w:pPr>
      <w:r>
        <w:rPr>
          <w:bCs/>
          <w:b/>
        </w:rPr>
        <w:t xml:space="preserve">Purchase Order No.:</w:t>
      </w:r>
      <w:r>
        <w:t xml:space="preserve"> </w:t>
      </w:r>
      <w:r>
        <w:t xml:space="preserve">PO-2025-BA-00472</w:t>
      </w:r>
    </w:p>
    <w:p>
      <w:pPr>
        <w:pStyle w:val="BodyText"/>
      </w:pPr>
      <w:r>
        <w:rPr>
          <w:bCs/>
          <w:b/>
        </w:rPr>
        <w:t xml:space="preserve">Date of Issue:</w:t>
      </w:r>
      <w:r>
        <w:t xml:space="preserve"> </w:t>
      </w:r>
      <w:r>
        <w:t xml:space="preserve">June 15, 2025</w:t>
      </w:r>
    </w:p>
    <w:p>
      <w:pPr>
        <w:pStyle w:val="BodyText"/>
      </w:pPr>
      <w:r>
        <w:rPr>
          <w:bCs/>
          <w:b/>
        </w:rPr>
        <w:t xml:space="preserve">Required By:</w:t>
      </w:r>
      <w:r>
        <w:t xml:space="preserve"> </w:t>
      </w:r>
      <w:r>
        <w:t xml:space="preserve">July 1, 2025</w:t>
      </w:r>
    </w:p>
    <w:p>
      <w:pPr>
        <w:pStyle w:val="BodyText"/>
      </w:pPr>
      <w:r>
        <w:rPr>
          <w:bCs/>
          <w:b/>
        </w:rPr>
        <w:t xml:space="preserve">Valid Until:</w:t>
      </w:r>
      <w:r>
        <w:t xml:space="preserve"> </w:t>
      </w:r>
      <w:r>
        <w:t xml:space="preserve">July 30, 2025</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Ledger &amp; Partners Accounting Firm S.R.L.</w:t>
            </w:r>
          </w:p>
        </w:tc>
      </w:tr>
      <w:tr>
        <w:tc>
          <w:tcPr/>
          <w:p>
            <w:pPr>
              <w:pStyle w:val="Compact"/>
              <w:jc w:val="left"/>
            </w:pPr>
            <w:r>
              <w:rPr>
                <w:bCs/>
                <w:b/>
              </w:rPr>
              <w:t xml:space="preserve">Primary Contact</w:t>
            </w:r>
          </w:p>
        </w:tc>
        <w:tc>
          <w:tcPr/>
          <w:p>
            <w:pPr>
              <w:pStyle w:val="Compact"/>
              <w:jc w:val="left"/>
            </w:pPr>
            <w:r>
              <w:t xml:space="preserve">María Elena Rodríguez, Senior Accountant &amp; Managing Partner</w:t>
            </w:r>
          </w:p>
        </w:tc>
      </w:tr>
      <w:tr>
        <w:tc>
          <w:tcPr/>
          <w:p>
            <w:pPr>
              <w:pStyle w:val="Compact"/>
              <w:jc w:val="left"/>
            </w:pPr>
            <w:r>
              <w:rPr>
                <w:bCs/>
                <w:b/>
              </w:rPr>
              <w:t xml:space="preserve">Address</w:t>
            </w:r>
          </w:p>
        </w:tc>
        <w:tc>
          <w:tcPr/>
          <w:p>
            <w:pPr>
              <w:pStyle w:val="Compact"/>
              <w:jc w:val="left"/>
            </w:pPr>
            <w:r>
              <w:t xml:space="preserve">Av. Santa Fe 2340, Piso 8, C1059AAL, Buenos Aires, Argentina</w:t>
            </w:r>
          </w:p>
        </w:tc>
      </w:tr>
      <w:tr>
        <w:tc>
          <w:tcPr/>
          <w:p>
            <w:pPr>
              <w:pStyle w:val="Compact"/>
              <w:jc w:val="left"/>
            </w:pPr>
            <w:r>
              <w:rPr>
                <w:bCs/>
                <w:b/>
              </w:rPr>
              <w:t xml:space="preserve">CUIT</w:t>
            </w:r>
          </w:p>
        </w:tc>
        <w:tc>
          <w:tcPr/>
          <w:p>
            <w:pPr>
              <w:pStyle w:val="Compact"/>
              <w:jc w:val="left"/>
            </w:pPr>
            <w:r>
              <w:t xml:space="preserve">30-69876543-2</w:t>
            </w:r>
          </w:p>
        </w:tc>
      </w:tr>
      <w:tr>
        <w:tc>
          <w:tcPr/>
          <w:p>
            <w:pPr>
              <w:pStyle w:val="Compact"/>
              <w:jc w:val="left"/>
            </w:pPr>
            <w:r>
              <w:rPr>
                <w:bCs/>
                <w:b/>
              </w:rPr>
              <w:t xml:space="preserve">Professional License</w:t>
            </w:r>
          </w:p>
        </w:tc>
        <w:tc>
          <w:tcPr/>
          <w:p>
            <w:pPr>
              <w:pStyle w:val="Compact"/>
              <w:jc w:val="left"/>
            </w:pPr>
            <w:r>
              <w:t xml:space="preserve">CPCEBA Mat. N° 1.234.567 (Colegio Público de Contadores de la Ciudad de Buenos Aires)</w:t>
            </w:r>
          </w:p>
        </w:tc>
      </w:tr>
      <w:tr>
        <w:tc>
          <w:tcPr/>
          <w:p>
            <w:pPr>
              <w:pStyle w:val="Compact"/>
              <w:jc w:val="left"/>
            </w:pPr>
            <w:r>
              <w:rPr>
                <w:bCs/>
                <w:b/>
              </w:rPr>
              <w:t xml:space="preserve">Email</w:t>
            </w:r>
          </w:p>
        </w:tc>
        <w:tc>
          <w:tcPr/>
          <w:p>
            <w:pPr>
              <w:pStyle w:val="Compact"/>
              <w:jc w:val="left"/>
            </w:pPr>
            <w:r>
              <w:t xml:space="preserve">contacto@ledgerpartners.com.ar</w:t>
            </w:r>
          </w:p>
        </w:tc>
      </w:tr>
      <w:tr>
        <w:tc>
          <w:tcPr/>
          <w:p>
            <w:pPr>
              <w:pStyle w:val="Compact"/>
              <w:jc w:val="left"/>
            </w:pPr>
            <w:r>
              <w:rPr>
                <w:bCs/>
                <w:b/>
              </w:rPr>
              <w:t xml:space="preserve">Phone</w:t>
            </w:r>
          </w:p>
        </w:tc>
        <w:tc>
          <w:tcPr/>
          <w:p>
            <w:pPr>
              <w:pStyle w:val="Compact"/>
              <w:jc w:val="left"/>
            </w:pPr>
            <w:r>
              <w:t xml:space="preserve">+54 11 5678-9012</w:t>
            </w:r>
          </w:p>
        </w:tc>
      </w:tr>
    </w:tbl>
    <w:bookmarkEnd w:id="21"/>
    <w:bookmarkStart w:id="22" w:name="X13fd923dd9bc556d778ad517bc299718282b8cd"/>
    <w:p>
      <w:pPr>
        <w:pStyle w:val="Heading2"/>
      </w:pPr>
      <w:r>
        <w:t xml:space="preserve">2. Description of Services – Accountant Engagement</w:t>
      </w:r>
    </w:p>
    <w:p>
      <w:pPr>
        <w:pStyle w:val="FirstParagraph"/>
      </w:pPr>
      <w:r>
        <w:t xml:space="preserve">This Purchase Order is issued by Meridian Corporate Solutions S.A. to formally request and authorize the procurement of professional accounting services from the above-named Accountant firm. The engagement is governed by the commercial and professional regulations applicable in Argentina Buenos Aires, including the provisions of the Argentine Civil and Commercial Code (Ley 26.994), the Tax Code (Ley 11.683), and the professional standards established by the Colegio Público de Contadores de la Ciudad de Buenos Aires.</w:t>
      </w:r>
    </w:p>
    <w:p>
      <w:pPr>
        <w:pStyle w:val="BodyText"/>
      </w:pPr>
      <w:r>
        <w:t xml:space="preserve">The Accountant shall provide comprehensive financial, tax, and compliance services as detailed in the line items below. All deliverables must conform to the International Financial Reporting Standards (IFRS) as adopted in Argentina, as well as the local GAAP requirements enforced by the Comisión Nacional de Valores (CNV) and the Administración Federal de Ingresos Públicos (AFIP).</w:t>
      </w:r>
    </w:p>
    <w:bookmarkEnd w:id="22"/>
    <w:bookmarkStart w:id="23" w:name="line-items-scope-of-work"/>
    <w:p>
      <w:pPr>
        <w:pStyle w:val="Heading2"/>
      </w:pPr>
      <w:r>
        <w:t xml:space="preserve">3. Line Items –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Price (ARS)</w:t>
            </w:r>
          </w:p>
        </w:tc>
        <w:tc>
          <w:tcPr/>
          <w:p>
            <w:pPr>
              <w:pStyle w:val="Compact"/>
              <w:jc w:val="left"/>
            </w:pPr>
            <w:r>
              <w:t xml:space="preserve">Quantity</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Monthly general ledger maintenance, journal entries, and reconciliation of all bank accounts held in Argentina Buenos Aires</w:t>
            </w:r>
          </w:p>
        </w:tc>
        <w:tc>
          <w:tcPr/>
          <w:p>
            <w:pPr>
              <w:pStyle w:val="Compact"/>
              <w:jc w:val="left"/>
            </w:pPr>
            <w:r>
              <w:t xml:space="preserve">Monthly</w:t>
            </w:r>
          </w:p>
        </w:tc>
        <w:tc>
          <w:tcPr/>
          <w:p>
            <w:pPr>
              <w:pStyle w:val="Compact"/>
              <w:jc w:val="left"/>
            </w:pPr>
            <w:r>
              <w:t xml:space="preserve">185,000</w:t>
            </w:r>
          </w:p>
        </w:tc>
        <w:tc>
          <w:tcPr/>
          <w:p>
            <w:pPr>
              <w:pStyle w:val="Compact"/>
              <w:jc w:val="left"/>
            </w:pPr>
            <w:r>
              <w:t xml:space="preserve">12</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Preparation and filing of monthly VAT (IVA) returns, income tax (Ganancias) provisional declarations, and IIBB (Ingresos Brutos) filings with AFIP</w:t>
            </w:r>
          </w:p>
        </w:tc>
        <w:tc>
          <w:tcPr/>
          <w:p>
            <w:pPr>
              <w:pStyle w:val="Compact"/>
              <w:jc w:val="left"/>
            </w:pPr>
            <w:r>
              <w:t xml:space="preserve">Monthly</w:t>
            </w:r>
          </w:p>
        </w:tc>
        <w:tc>
          <w:tcPr/>
          <w:p>
            <w:pPr>
              <w:pStyle w:val="Compact"/>
              <w:jc w:val="left"/>
            </w:pPr>
            <w:r>
              <w:t xml:space="preserve">95,000</w:t>
            </w:r>
          </w:p>
        </w:tc>
        <w:tc>
          <w:tcPr/>
          <w:p>
            <w:pPr>
              <w:pStyle w:val="Compact"/>
              <w:jc w:val="left"/>
            </w:pPr>
            <w:r>
              <w:t xml:space="preserve">12</w:t>
            </w:r>
          </w:p>
        </w:tc>
        <w:tc>
          <w:tcPr/>
          <w:p>
            <w:pPr>
              <w:pStyle w:val="Compact"/>
              <w:jc w:val="left"/>
            </w:pPr>
            <w:r>
              <w:t xml:space="preserve">1,140,000</w:t>
            </w:r>
          </w:p>
        </w:tc>
      </w:tr>
      <w:tr>
        <w:tc>
          <w:tcPr/>
          <w:p>
            <w:pPr>
              <w:pStyle w:val="Compact"/>
              <w:jc w:val="left"/>
            </w:pPr>
            <w:r>
              <w:t xml:space="preserve">03</w:t>
            </w:r>
          </w:p>
        </w:tc>
        <w:tc>
          <w:tcPr/>
          <w:p>
            <w:pPr>
              <w:pStyle w:val="Compact"/>
              <w:jc w:val="left"/>
            </w:pPr>
            <w:r>
              <w:t xml:space="preserve">Quarterly financial statement preparation (Balance Sheet, Income Statement, Cash Flow) in compliance with Argentine accounting standards</w:t>
            </w:r>
          </w:p>
        </w:tc>
        <w:tc>
          <w:tcPr/>
          <w:p>
            <w:pPr>
              <w:pStyle w:val="Compact"/>
              <w:jc w:val="left"/>
            </w:pPr>
            <w:r>
              <w:t xml:space="preserve">Quarterly</w:t>
            </w:r>
          </w:p>
        </w:tc>
        <w:tc>
          <w:tcPr/>
          <w:p>
            <w:pPr>
              <w:pStyle w:val="Compact"/>
              <w:jc w:val="left"/>
            </w:pPr>
            <w:r>
              <w:t xml:space="preserve">320,000</w:t>
            </w:r>
          </w:p>
        </w:tc>
        <w:tc>
          <w:tcPr/>
          <w:p>
            <w:pPr>
              <w:pStyle w:val="Compact"/>
              <w:jc w:val="left"/>
            </w:pPr>
            <w:r>
              <w:t xml:space="preserve">4</w:t>
            </w:r>
          </w:p>
        </w:tc>
        <w:tc>
          <w:tcPr/>
          <w:p>
            <w:pPr>
              <w:pStyle w:val="Compact"/>
              <w:jc w:val="left"/>
            </w:pPr>
            <w:r>
              <w:t xml:space="preserve">1,280,000</w:t>
            </w:r>
          </w:p>
        </w:tc>
      </w:tr>
      <w:tr>
        <w:tc>
          <w:tcPr/>
          <w:p>
            <w:pPr>
              <w:pStyle w:val="Compact"/>
              <w:jc w:val="left"/>
            </w:pPr>
            <w:r>
              <w:t xml:space="preserve">04</w:t>
            </w:r>
          </w:p>
        </w:tc>
        <w:tc>
          <w:tcPr/>
          <w:p>
            <w:pPr>
              <w:pStyle w:val="Compact"/>
              <w:jc w:val="left"/>
            </w:pPr>
            <w:r>
              <w:t xml:space="preserve">Annual financial audit support, tax planning consultation, and preparation of the annual income tax return (Declaración Jurada Anual)</w:t>
            </w:r>
          </w:p>
        </w:tc>
        <w:tc>
          <w:tcPr/>
          <w:p>
            <w:pPr>
              <w:pStyle w:val="Compact"/>
              <w:jc w:val="left"/>
            </w:pPr>
            <w:r>
              <w:t xml:space="preserve">Annual</w:t>
            </w:r>
          </w:p>
        </w:tc>
        <w:tc>
          <w:tcPr/>
          <w:p>
            <w:pPr>
              <w:pStyle w:val="Compact"/>
              <w:jc w:val="left"/>
            </w:pPr>
            <w:r>
              <w:t xml:space="preserve">1,450,000</w:t>
            </w:r>
          </w:p>
        </w:tc>
        <w:tc>
          <w:tcPr/>
          <w:p>
            <w:pPr>
              <w:pStyle w:val="Compact"/>
              <w:jc w:val="left"/>
            </w:pPr>
            <w:r>
              <w:t xml:space="preserve">1</w:t>
            </w:r>
          </w:p>
        </w:tc>
        <w:tc>
          <w:tcPr/>
          <w:p>
            <w:pPr>
              <w:pStyle w:val="Compact"/>
              <w:jc w:val="left"/>
            </w:pPr>
            <w:r>
              <w:t xml:space="preserve">1,450,000</w:t>
            </w:r>
          </w:p>
        </w:tc>
      </w:tr>
      <w:tr>
        <w:tc>
          <w:tcPr/>
          <w:p>
            <w:pPr>
              <w:pStyle w:val="Compact"/>
              <w:jc w:val="left"/>
            </w:pPr>
            <w:r>
              <w:t xml:space="preserve">05</w:t>
            </w:r>
          </w:p>
        </w:tc>
        <w:tc>
          <w:tcPr/>
          <w:p>
            <w:pPr>
              <w:pStyle w:val="Compact"/>
              <w:jc w:val="left"/>
            </w:pPr>
            <w:r>
              <w:t xml:space="preserve">Payroll accounting, social security contributions (ANSES), and labor compliance reporting for 45 employees based in Buenos Aires</w:t>
            </w:r>
          </w:p>
        </w:tc>
        <w:tc>
          <w:tcPr/>
          <w:p>
            <w:pPr>
              <w:pStyle w:val="Compact"/>
              <w:jc w:val="left"/>
            </w:pPr>
            <w:r>
              <w:t xml:space="preserve">Monthly</w:t>
            </w:r>
          </w:p>
        </w:tc>
        <w:tc>
          <w:tcPr/>
          <w:p>
            <w:pPr>
              <w:pStyle w:val="Compact"/>
              <w:jc w:val="left"/>
            </w:pPr>
            <w:r>
              <w:t xml:space="preserve">140,000</w:t>
            </w:r>
          </w:p>
        </w:tc>
        <w:tc>
          <w:tcPr/>
          <w:p>
            <w:pPr>
              <w:pStyle w:val="Compact"/>
              <w:jc w:val="left"/>
            </w:pPr>
            <w:r>
              <w:t xml:space="preserve">12</w:t>
            </w:r>
          </w:p>
        </w:tc>
        <w:tc>
          <w:tcPr/>
          <w:p>
            <w:pPr>
              <w:pStyle w:val="Compact"/>
              <w:jc w:val="left"/>
            </w:pPr>
            <w:r>
              <w:t xml:space="preserve">1,680,000</w:t>
            </w:r>
          </w:p>
        </w:tc>
      </w:tr>
      <w:tr>
        <w:tc>
          <w:tcPr/>
          <w:p>
            <w:pPr>
              <w:pStyle w:val="Compact"/>
              <w:jc w:val="left"/>
            </w:pPr>
            <w:r>
              <w:t xml:space="preserve">06</w:t>
            </w:r>
          </w:p>
        </w:tc>
        <w:tc>
          <w:tcPr/>
          <w:p>
            <w:pPr>
              <w:pStyle w:val="Compact"/>
              <w:jc w:val="left"/>
            </w:pPr>
            <w:r>
              <w:t xml:space="preserve">Ad-hoc advisory on cross-border transactions, transfer pricing documentation, and foreign exchange controls (BCRA regulations)</w:t>
            </w:r>
          </w:p>
        </w:tc>
        <w:tc>
          <w:tcPr/>
          <w:p>
            <w:pPr>
              <w:pStyle w:val="Compact"/>
              <w:jc w:val="left"/>
            </w:pPr>
            <w:r>
              <w:t xml:space="preserve">As needed</w:t>
            </w:r>
          </w:p>
        </w:tc>
        <w:tc>
          <w:tcPr/>
          <w:p>
            <w:pPr>
              <w:pStyle w:val="Compact"/>
              <w:jc w:val="left"/>
            </w:pPr>
            <w:r>
              <w:t xml:space="preserve">85,000</w:t>
            </w:r>
          </w:p>
        </w:tc>
        <w:tc>
          <w:tcPr/>
          <w:p>
            <w:pPr>
              <w:pStyle w:val="Compact"/>
              <w:jc w:val="left"/>
            </w:pPr>
            <w:r>
              <w:t xml:space="preserve">6</w:t>
            </w:r>
          </w:p>
        </w:tc>
        <w:tc>
          <w:tcPr/>
          <w:p>
            <w:pPr>
              <w:pStyle w:val="Compact"/>
              <w:jc w:val="left"/>
            </w:pPr>
            <w:r>
              <w:t xml:space="preserve">510,000</w:t>
            </w:r>
          </w:p>
        </w:tc>
      </w:tr>
      <w:tr>
        <w:tc>
          <w:tcPr>
            <w:gridSpan w:val="5"/>
          </w:tcPr>
          <w:p>
            <w:pPr>
              <w:pStyle w:val="Compact"/>
              <w:jc w:val="right"/>
            </w:pPr>
            <w:r>
              <w:t xml:space="preserve">TOTAL CONTRACT VALUE (12 months)</w:t>
            </w:r>
          </w:p>
        </w:tc>
        <w:tc>
          <w:tcPr/>
          <w:p>
            <w:pPr>
              <w:pStyle w:val="Compact"/>
              <w:jc w:val="left"/>
            </w:pPr>
            <w:r>
              <w:t xml:space="preserve">8,280,000</w:t>
            </w:r>
          </w:p>
        </w:tc>
      </w:tr>
    </w:tbl>
    <w:p>
      <w:pPr>
        <w:pStyle w:val="BodyText"/>
      </w:pPr>
      <w:r>
        <w:t xml:space="preserve">* All prices are expressed in Argentine Pesos (ARS) and are exclusive of applicable VAT (21%). The final invoice shall include the corresponding IVA as per Argentine tax law. Prices are fixed for the duration of this Purchase Order and shall not be subject to unilateral adjustment.</w:t>
      </w:r>
    </w:p>
    <w:bookmarkEnd w:id="23"/>
    <w:bookmarkStart w:id="24" w:name="payment-terms-and-conditions"/>
    <w:p>
      <w:pPr>
        <w:pStyle w:val="Heading2"/>
      </w:pPr>
      <w:r>
        <w:t xml:space="preserve">4. Payment Terms and Conditions</w:t>
      </w:r>
    </w:p>
    <w:p>
      <w:pPr>
        <w:numPr>
          <w:ilvl w:val="0"/>
          <w:numId w:val="1001"/>
        </w:numPr>
        <w:pStyle w:val="Compact"/>
      </w:pPr>
      <w:r>
        <w:rPr>
          <w:bCs/>
          <w:b/>
        </w:rPr>
        <w:t xml:space="preserve">Payment Schedule:</w:t>
      </w:r>
      <w:r>
        <w:t xml:space="preserve"> </w:t>
      </w:r>
      <w:r>
        <w:t xml:space="preserve">Invoices shall be issued on the last business day of each month for services rendered. Payment shall be made within thirty (30) calendar days from the date of invoice receipt via electronic transfer (transferencia bancaria) to the account designated by the Accountant firm.</w:t>
      </w:r>
    </w:p>
    <w:p>
      <w:pPr>
        <w:numPr>
          <w:ilvl w:val="0"/>
          <w:numId w:val="1001"/>
        </w:numPr>
        <w:pStyle w:val="Compact"/>
      </w:pPr>
      <w:r>
        <w:rPr>
          <w:bCs/>
          <w:b/>
        </w:rPr>
        <w:t xml:space="preserve">Currency:</w:t>
      </w:r>
      <w:r>
        <w:t xml:space="preserve"> </w:t>
      </w:r>
      <w:r>
        <w:t xml:space="preserve">All payments under this Purchase Order shall be executed in Argentine Pesos (ARS) in accordance with the foreign exchange regulations of the Banco Central de la República Argentina (BCRA).</w:t>
      </w:r>
    </w:p>
    <w:p>
      <w:pPr>
        <w:numPr>
          <w:ilvl w:val="0"/>
          <w:numId w:val="1001"/>
        </w:numPr>
        <w:pStyle w:val="Compact"/>
      </w:pPr>
      <w:r>
        <w:rPr>
          <w:bCs/>
          <w:b/>
        </w:rPr>
        <w:t xml:space="preserve">Late Payment:</w:t>
      </w:r>
      <w:r>
        <w:t xml:space="preserve"> </w:t>
      </w:r>
      <w:r>
        <w:t xml:space="preserve">In the event of late payment, interest shall accrue at the rate established by the BCRA for overdue obligations, as mandated by Argentine commercial law.</w:t>
      </w:r>
    </w:p>
    <w:p>
      <w:pPr>
        <w:numPr>
          <w:ilvl w:val="0"/>
          <w:numId w:val="1001"/>
        </w:numPr>
        <w:pStyle w:val="Compact"/>
      </w:pPr>
      <w:r>
        <w:rPr>
          <w:bCs/>
          <w:b/>
        </w:rPr>
        <w:t xml:space="preserve">Tax Withholding:</w:t>
      </w:r>
      <w:r>
        <w:t xml:space="preserve"> </w:t>
      </w:r>
      <w:r>
        <w:t xml:space="preserve">Meridian Corporate Solutions S.A. shall apply the applicable withholding tax (retención de Ganancias) as required by AFIP regulations before remitting payment to the Accountant.</w:t>
      </w:r>
    </w:p>
    <w:p>
      <w:pPr>
        <w:numPr>
          <w:ilvl w:val="0"/>
          <w:numId w:val="1001"/>
        </w:numPr>
        <w:pStyle w:val="Compact"/>
      </w:pPr>
      <w:r>
        <w:rPr>
          <w:bCs/>
          <w:b/>
        </w:rPr>
        <w:t xml:space="preserve">Disputes:</w:t>
      </w:r>
      <w:r>
        <w:t xml:space="preserve"> </w:t>
      </w:r>
      <w:r>
        <w:t xml:space="preserve">Any dispute arising from this Purchase Order shall be resolved through the commercial courts of the City of Buenos Aires, Argentina, in accordance with the jurisdictional rules of the Argentine judicial system.</w:t>
      </w:r>
    </w:p>
    <w:bookmarkEnd w:id="24"/>
    <w:bookmarkStart w:id="25" w:name="obligations-and-compliance"/>
    <w:p>
      <w:pPr>
        <w:pStyle w:val="Heading2"/>
      </w:pPr>
      <w:r>
        <w:t xml:space="preserve">5. Obligations and Compliance</w:t>
      </w:r>
    </w:p>
    <w:p>
      <w:pPr>
        <w:numPr>
          <w:ilvl w:val="0"/>
          <w:numId w:val="1002"/>
        </w:numPr>
        <w:pStyle w:val="Compact"/>
      </w:pPr>
      <w:r>
        <w:t xml:space="preserve">The Accountant shall maintain strict confidentiality over all financial data, trade secrets, and proprietary information of Meridian Corporate Solutions S.A., in compliance with the Argentine Personal Data Protection Law (Ley 25.326) and the professional ethical code of the CPCEBA.</w:t>
      </w:r>
    </w:p>
    <w:p>
      <w:pPr>
        <w:numPr>
          <w:ilvl w:val="0"/>
          <w:numId w:val="1002"/>
        </w:numPr>
        <w:pStyle w:val="Compact"/>
      </w:pPr>
      <w:r>
        <w:t xml:space="preserve">The Accountant warrants that all services shall be performed by qualified, licensed professionals registered with the Colegio Público de Contadores de la Ciudad de Buenos Aires and shall meet the highest standards of professional competence.</w:t>
      </w:r>
    </w:p>
    <w:p>
      <w:pPr>
        <w:numPr>
          <w:ilvl w:val="0"/>
          <w:numId w:val="1002"/>
        </w:numPr>
        <w:pStyle w:val="Compact"/>
      </w:pPr>
      <w:r>
        <w:t xml:space="preserve">The Accountant shall comply with all anti-money laundering obligations under Ley 25.246 and its implementing regulations, as well as all data protection requirements applicable in Argentina Buenos Aires.</w:t>
      </w:r>
    </w:p>
    <w:p>
      <w:pPr>
        <w:numPr>
          <w:ilvl w:val="0"/>
          <w:numId w:val="1002"/>
        </w:numPr>
        <w:pStyle w:val="Compact"/>
      </w:pPr>
      <w:r>
        <w:t xml:space="preserve">This Purchase Order does not create an employment relationship. The Accountant operates as an independent professional service provider.</w:t>
      </w:r>
    </w:p>
    <w:p>
      <w:pPr>
        <w:numPr>
          <w:ilvl w:val="0"/>
          <w:numId w:val="1002"/>
        </w:numPr>
        <w:pStyle w:val="Compact"/>
      </w:pPr>
      <w:r>
        <w:t xml:space="preserve">Either party may terminate this Purchase Order with thirty (30) days written notice. Upon termination, the Accountant shall deliver all work-in-progress documentation and records to the company.</w:t>
      </w:r>
    </w:p>
    <w:bookmarkEnd w:id="25"/>
    <w:bookmarkStart w:id="26" w:name="acceptance-and-authorization"/>
    <w:p>
      <w:pPr>
        <w:pStyle w:val="Heading2"/>
      </w:pPr>
      <w:r>
        <w:t xml:space="preserve">6. Acceptance and Authorization</w:t>
      </w:r>
    </w:p>
    <w:p>
      <w:pPr>
        <w:pStyle w:val="FirstParagraph"/>
      </w:pPr>
      <w:r>
        <w:t xml:space="preserve">This Purchase Order constitutes a binding offer for the procurement of the accounting services described herein. Acceptance by the Accountant firm shall be evidenced by the return of a signed copy of this document or by the commencement of services. This Purchase Order is valid for acceptance until July 30, 2025, after which it shall lapse automatically.</w:t>
      </w:r>
    </w:p>
    <w:bookmarkEnd w:id="26"/>
    <w:p>
      <w:pPr>
        <w:pStyle w:val="BodyText"/>
      </w:pPr>
      <w:r>
        <w:rPr>
          <w:bCs/>
          <w:b/>
        </w:rPr>
        <w:t xml:space="preserve">For Meridian Corporate Solutions S.A. (Buyer)</w:t>
      </w:r>
    </w:p>
    <w:p>
      <w:pPr>
        <w:pStyle w:val="BodyText"/>
      </w:pPr>
      <w:r>
        <w:rPr>
          <w:bCs/>
          <w:b/>
        </w:rPr>
        <w:t xml:space="preserve">Carlos Alberto Fernández</w:t>
      </w:r>
      <w:r>
        <w:br/>
      </w:r>
      <w:r>
        <w:t xml:space="preserve">Director of Finance &amp; Procurement</w:t>
      </w:r>
      <w:r>
        <w:br/>
      </w:r>
      <w:r>
        <w:t xml:space="preserve">Date: _______________</w:t>
      </w:r>
    </w:p>
    <w:p>
      <w:pPr>
        <w:pStyle w:val="BodyText"/>
      </w:pPr>
      <w:r>
        <w:rPr>
          <w:bCs/>
          <w:b/>
        </w:rPr>
        <w:t xml:space="preserve">For Ledger &amp; Partners Accounting Firm S.R.L. (Accountant / Seller)</w:t>
      </w:r>
    </w:p>
    <w:p>
      <w:pPr>
        <w:pStyle w:val="BodyText"/>
      </w:pPr>
      <w:r>
        <w:rPr>
          <w:bCs/>
          <w:b/>
        </w:rPr>
        <w:t xml:space="preserve">María Elena Rodríguez</w:t>
      </w:r>
      <w:r>
        <w:br/>
      </w:r>
      <w:r>
        <w:t xml:space="preserve">Senior Accountant &amp; Managing Partner</w:t>
      </w:r>
      <w:r>
        <w:br/>
      </w:r>
      <w:r>
        <w:t xml:space="preserve">CPCEBA Mat. N° 1.234.567</w:t>
      </w:r>
      <w:r>
        <w:br/>
      </w:r>
      <w:r>
        <w:t xml:space="preserve">Date: _______________</w:t>
      </w:r>
    </w:p>
    <w:p>
      <w:pPr>
        <w:pStyle w:val="BodyText"/>
      </w:pPr>
      <w:r>
        <w:t xml:space="preserve">PO-2025-BA-00472</w:t>
      </w:r>
      <w:r>
        <w:t xml:space="preserve"> </w:t>
      </w:r>
      <w:r>
        <w:t xml:space="preserve"> |  Purchase Order – Accountant Services  |  Issued in Buenos Aires, Argentina  |  Page 1 of 1</w:t>
      </w:r>
    </w:p>
    <w:p>
      <w:pPr>
        <w:pStyle w:val="BodyText"/>
      </w:pPr>
      <w:r>
        <w:t xml:space="preserve">This document is governed by the laws of the Argentine Republic. All references to "Argentina Buenos Aires" denote the City of Buenos Aires, the autonomous jurisdiction in which both parties are domiciled and where all services shall be rendered.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Argentina Buenos Aires</dc:title>
  <dc:creator/>
  <dc:language>en</dc:language>
  <cp:keywords/>
  <dcterms:created xsi:type="dcterms:W3CDTF">2026-10-10T07:34:37Z</dcterms:created>
  <dcterms:modified xsi:type="dcterms:W3CDTF">2026-10-10T07:34:37Z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