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Alexandria, Egypt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PO-EGY-ALX-2025-04782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Issuing Entity:</w:t>
            </w:r>
          </w:p>
        </w:tc>
        <w:tc>
          <w:tcPr>
            <w:gridSpan w:val="3"/>
          </w:tcPr>
          <w:p>
            <w:pPr>
              <w:pStyle w:val="Compact"/>
              <w:jc w:val="left"/>
            </w:pPr>
            <w:r>
              <w:t xml:space="preserve">Alexandria Commercial Development Group S.A.E. – 12 Corniche El-Nil Street, Smouha District, Alexandria, Egypt</w:t>
            </w:r>
          </w:p>
        </w:tc>
      </w:tr>
      <w:tr>
        <w:tc>
          <w:tcPr/>
          <w:p>
            <w:pPr>
              <w:pStyle w:val="Compact"/>
              <w:jc w:val="left"/>
            </w:pPr>
            <w:r>
              <w:t xml:space="preserve">Tax Registration No.:</w:t>
            </w:r>
          </w:p>
        </w:tc>
        <w:tc>
          <w:tcPr/>
          <w:p>
            <w:pPr>
              <w:pStyle w:val="Compact"/>
              <w:jc w:val="left"/>
            </w:pPr>
            <w:r>
              <w:t xml:space="preserve">552-884-120-337</w:t>
            </w:r>
          </w:p>
        </w:tc>
        <w:tc>
          <w:tcPr/>
          <w:p>
            <w:pPr>
              <w:pStyle w:val="Compact"/>
              <w:jc w:val="left"/>
            </w:pPr>
            <w:r>
              <w:t xml:space="preserve">Commercial Reg. No.:</w:t>
            </w:r>
          </w:p>
        </w:tc>
        <w:tc>
          <w:tcPr/>
          <w:p>
            <w:pPr>
              <w:pStyle w:val="Compact"/>
              <w:jc w:val="left"/>
            </w:pPr>
            <w:r>
              <w:t xml:space="preserve">ALX-2019-44521</w:t>
            </w:r>
          </w:p>
        </w:tc>
      </w:tr>
      <w:tr>
        <w:tc>
          <w:tcPr/>
          <w:p>
            <w:pPr>
              <w:pStyle w:val="Compact"/>
              <w:jc w:val="left"/>
            </w:pPr>
            <w:r>
              <w:t xml:space="preserve">Supplier / Vendor:</w:t>
            </w:r>
          </w:p>
        </w:tc>
        <w:tc>
          <w:tcPr>
            <w:gridSpan w:val="3"/>
          </w:tcPr>
          <w:p>
            <w:pPr>
              <w:pStyle w:val="Compact"/>
              <w:jc w:val="left"/>
            </w:pPr>
            <w:r>
              <w:t xml:space="preserve">Cairo-Alexandria Professional Accounting &amp; Financial Advisory Firm – 8 El-Montazah Road, Mansheya District, Alexandria, Egypt</w:t>
            </w:r>
          </w:p>
        </w:tc>
      </w:tr>
      <w:tr>
        <w:tc>
          <w:tcPr/>
          <w:p>
            <w:pPr>
              <w:pStyle w:val="Compact"/>
              <w:jc w:val="left"/>
            </w:pPr>
            <w:r>
              <w:t xml:space="preserve">Supplier Tax ID:</w:t>
            </w:r>
          </w:p>
        </w:tc>
        <w:tc>
          <w:tcPr/>
          <w:p>
            <w:pPr>
              <w:pStyle w:val="Compact"/>
              <w:jc w:val="left"/>
            </w:pPr>
            <w:r>
              <w:t xml:space="preserve">771-203-556-890</w:t>
            </w:r>
          </w:p>
        </w:tc>
        <w:tc>
          <w:tcPr/>
          <w:p>
            <w:pPr>
              <w:pStyle w:val="Compact"/>
              <w:jc w:val="left"/>
            </w:pPr>
            <w:r>
              <w:t xml:space="preserve">Contact Person:</w:t>
            </w:r>
          </w:p>
        </w:tc>
        <w:tc>
          <w:tcPr/>
          <w:p>
            <w:pPr>
              <w:pStyle w:val="Compact"/>
              <w:jc w:val="left"/>
            </w:pPr>
            <w:r>
              <w:t xml:space="preserve">Mr. Hassan El-Sayed, Managing Partner</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Alexandria Commercial Development Group S.A.E. (hereinafter referred to as the "Purchasing Entity") to formally procure the professional services of a qualified</w:t>
      </w:r>
      <w:r>
        <w:t xml:space="preserve"> </w:t>
      </w:r>
      <w:r>
        <w:t xml:space="preserve">Accountant</w:t>
      </w:r>
      <w:r>
        <w:t xml:space="preserve"> </w:t>
      </w:r>
      <w:r>
        <w:t xml:space="preserve">to be engaged on a full-time, twelve-month contractual basis. The</w:t>
      </w:r>
      <w:r>
        <w:t xml:space="preserve"> </w:t>
      </w:r>
      <w:r>
        <w:t xml:space="preserve">Accountant</w:t>
      </w:r>
      <w:r>
        <w:t xml:space="preserve"> </w:t>
      </w:r>
      <w:r>
        <w:t xml:space="preserve">shall be physically stationed at the Purchasing Entity's principal office located in the Smouha District of</w:t>
      </w:r>
      <w:r>
        <w:t xml:space="preserve"> </w:t>
      </w:r>
      <w:r>
        <w:t xml:space="preserve">Egypt Alexandria</w:t>
      </w:r>
      <w:r>
        <w:t xml:space="preserve">, and shall report directly to the Chief Financial Officer. The engagement is governed by the Egyptian Labor Law No. 14 of 2003 and all applicable financial regulations issued by the Egyptian Financial Regulatory Authority (FRA) and the Egyptian Tax Authority.</w:t>
      </w:r>
    </w:p>
    <w:p>
      <w:pPr>
        <w:pStyle w:val="BodyText"/>
      </w:pPr>
      <w:r>
        <w:t xml:space="preserve">2. Scope of Services – Accountant Role</w:t>
      </w:r>
    </w:p>
    <w:p>
      <w:pPr>
        <w:pStyle w:val="BodyTex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perform the following duties and responsibilities within the operational boundaries of</w:t>
      </w:r>
      <w:r>
        <w:t xml:space="preserve"> </w:t>
      </w:r>
      <w:r>
        <w:t xml:space="preserve">Egypt Alexandria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 Duty Description</w:t>
            </w:r>
          </w:p>
        </w:tc>
        <w:tc>
          <w:tcPr/>
          <w:p>
            <w:pPr>
              <w:pStyle w:val="Compact"/>
              <w:jc w:val="left"/>
            </w:pPr>
            <w:r>
              <w:t xml:space="preserve">Frequency</w:t>
            </w:r>
          </w:p>
        </w:tc>
        <w:tc>
          <w:tcPr/>
          <w:p>
            <w:pPr>
              <w:pStyle w:val="Compact"/>
              <w:jc w:val="left"/>
            </w:pPr>
            <w:r>
              <w:t xml:space="preserve">Deliverable</w:t>
            </w:r>
          </w:p>
        </w:tc>
      </w:tr>
      <w:tr>
        <w:tc>
          <w:tcPr/>
          <w:p>
            <w:pPr>
              <w:pStyle w:val="Compact"/>
              <w:jc w:val="left"/>
            </w:pPr>
            <w:r>
              <w:t xml:space="preserve">2.1</w:t>
            </w:r>
          </w:p>
        </w:tc>
        <w:tc>
          <w:tcPr/>
          <w:p>
            <w:pPr>
              <w:pStyle w:val="Compact"/>
              <w:jc w:val="left"/>
            </w:pPr>
            <w:r>
              <w:t xml:space="preserve">Preparation and maintenance of general ledgers, trial balances, and monthly financial statements in compliance with IFRS and Egyptian Accounting Standards (EAS) as applied in</w:t>
            </w:r>
            <w:r>
              <w:t xml:space="preserve"> </w:t>
            </w:r>
            <w:r>
              <w:t xml:space="preserve">Egypt Alexandria</w:t>
            </w:r>
            <w:r>
              <w:t xml:space="preserve">.</w:t>
            </w:r>
          </w:p>
        </w:tc>
        <w:tc>
          <w:tcPr/>
          <w:p>
            <w:pPr>
              <w:pStyle w:val="Compact"/>
              <w:jc w:val="left"/>
            </w:pPr>
            <w:r>
              <w:t xml:space="preserve">Monthly</w:t>
            </w:r>
          </w:p>
        </w:tc>
        <w:tc>
          <w:tcPr/>
          <w:p>
            <w:pPr>
              <w:pStyle w:val="Compact"/>
              <w:jc w:val="left"/>
            </w:pPr>
            <w:r>
              <w:t xml:space="preserve">Financial Statements Pack</w:t>
            </w:r>
          </w:p>
        </w:tc>
      </w:tr>
      <w:tr>
        <w:tc>
          <w:tcPr/>
          <w:p>
            <w:pPr>
              <w:pStyle w:val="Compact"/>
              <w:jc w:val="left"/>
            </w:pPr>
            <w:r>
              <w:t xml:space="preserve">2.2</w:t>
            </w:r>
          </w:p>
        </w:tc>
        <w:tc>
          <w:tcPr/>
          <w:p>
            <w:pPr>
              <w:pStyle w:val="Compact"/>
              <w:jc w:val="left"/>
            </w:pPr>
            <w:r>
              <w:t xml:space="preserve">Preparation and filing of all periodic tax returns (VAT, Income Tax, Withholding Tax) with the Egyptian Tax Authority offices in Alexandria, ensuring full compliance with the Egyptian Tax Code.</w:t>
            </w:r>
          </w:p>
        </w:tc>
        <w:tc>
          <w:tcPr/>
          <w:p>
            <w:pPr>
              <w:pStyle w:val="Compact"/>
              <w:jc w:val="left"/>
            </w:pPr>
            <w:r>
              <w:t xml:space="preserve">Quarterly / Annual</w:t>
            </w:r>
          </w:p>
        </w:tc>
        <w:tc>
          <w:tcPr/>
          <w:p>
            <w:pPr>
              <w:pStyle w:val="Compact"/>
              <w:jc w:val="left"/>
            </w:pPr>
            <w:r>
              <w:t xml:space="preserve">Tax Filing Confirmations</w:t>
            </w:r>
          </w:p>
        </w:tc>
      </w:tr>
      <w:tr>
        <w:tc>
          <w:tcPr/>
          <w:p>
            <w:pPr>
              <w:pStyle w:val="Compact"/>
              <w:jc w:val="left"/>
            </w:pPr>
            <w:r>
              <w:t xml:space="preserve">2.3</w:t>
            </w:r>
          </w:p>
        </w:tc>
        <w:tc>
          <w:tcPr/>
          <w:p>
            <w:pPr>
              <w:pStyle w:val="Compact"/>
              <w:jc w:val="left"/>
            </w:pPr>
            <w:r>
              <w:t xml:space="preserve">Reconciliation of bank accounts, vendor payables, and customer receivables for all branches operating within the Alexandria metropolitan area.</w:t>
            </w:r>
          </w:p>
        </w:tc>
        <w:tc>
          <w:tcPr/>
          <w:p>
            <w:pPr>
              <w:pStyle w:val="Compact"/>
              <w:jc w:val="left"/>
            </w:pPr>
            <w:r>
              <w:t xml:space="preserve">Weekly</w:t>
            </w:r>
          </w:p>
        </w:tc>
        <w:tc>
          <w:tcPr/>
          <w:p>
            <w:pPr>
              <w:pStyle w:val="Compact"/>
              <w:jc w:val="left"/>
            </w:pPr>
            <w:r>
              <w:t xml:space="preserve">Reconciliation Reports</w:t>
            </w:r>
          </w:p>
        </w:tc>
      </w:tr>
      <w:tr>
        <w:tc>
          <w:tcPr/>
          <w:p>
            <w:pPr>
              <w:pStyle w:val="Compact"/>
              <w:jc w:val="left"/>
            </w:pPr>
            <w:r>
              <w:t xml:space="preserve">2.4</w:t>
            </w:r>
          </w:p>
        </w:tc>
        <w:tc>
          <w:tcPr/>
          <w:p>
            <w:pPr>
              <w:pStyle w:val="Compact"/>
              <w:jc w:val="left"/>
            </w:pPr>
            <w:r>
              <w:t xml:space="preserve">Management of accounts payable and accounts payable cycles, including invoice verification, approval routing, and payment scheduling in coordination with the Alexandria-based treasury department.</w:t>
            </w:r>
          </w:p>
        </w:tc>
        <w:tc>
          <w:tcPr/>
          <w:p>
            <w:pPr>
              <w:pStyle w:val="Compact"/>
              <w:jc w:val="left"/>
            </w:pPr>
            <w:r>
              <w:t xml:space="preserve">Continuous</w:t>
            </w:r>
          </w:p>
        </w:tc>
        <w:tc>
          <w:tcPr/>
          <w:p>
            <w:pPr>
              <w:pStyle w:val="Compact"/>
              <w:jc w:val="left"/>
            </w:pPr>
            <w:r>
              <w:t xml:space="preserve">AP/AR Ledgers</w:t>
            </w:r>
          </w:p>
        </w:tc>
      </w:tr>
      <w:tr>
        <w:tc>
          <w:tcPr/>
          <w:p>
            <w:pPr>
              <w:pStyle w:val="Compact"/>
              <w:jc w:val="left"/>
            </w:pPr>
            <w:r>
              <w:t xml:space="preserve">2.5</w:t>
            </w:r>
          </w:p>
        </w:tc>
        <w:tc>
          <w:tcPr/>
          <w:p>
            <w:pPr>
              <w:pStyle w:val="Compact"/>
              <w:jc w:val="left"/>
            </w:pPr>
            <w:r>
              <w:t xml:space="preserve">Assistance in the preparation of the annual audited financial statements and coordination with the external audit firm for the statutory audit required under Egyptian corporate law.</w:t>
            </w:r>
          </w:p>
        </w:tc>
        <w:tc>
          <w:tcPr/>
          <w:p>
            <w:pPr>
              <w:pStyle w:val="Compact"/>
              <w:jc w:val="left"/>
            </w:pPr>
            <w:r>
              <w:t xml:space="preserve">Annually</w:t>
            </w:r>
          </w:p>
        </w:tc>
        <w:tc>
          <w:tcPr/>
          <w:p>
            <w:pPr>
              <w:pStyle w:val="Compact"/>
              <w:jc w:val="left"/>
            </w:pPr>
            <w:r>
              <w:t xml:space="preserve">Audit-Ready File</w:t>
            </w:r>
          </w:p>
        </w:tc>
      </w:tr>
      <w:tr>
        <w:tc>
          <w:tcPr/>
          <w:p>
            <w:pPr>
              <w:pStyle w:val="Compact"/>
              <w:jc w:val="left"/>
            </w:pPr>
            <w:r>
              <w:t xml:space="preserve">2.6</w:t>
            </w:r>
          </w:p>
        </w:tc>
        <w:tc>
          <w:tcPr/>
          <w:p>
            <w:pPr>
              <w:pStyle w:val="Compact"/>
              <w:jc w:val="left"/>
            </w:pPr>
            <w:r>
              <w:t xml:space="preserve">Preparation of budget forecasts, variance analyses, and management reports for the Board of Directors, reflecting the specific economic conditions of the Alexandria commercial market.</w:t>
            </w:r>
          </w:p>
        </w:tc>
        <w:tc>
          <w:tcPr/>
          <w:p>
            <w:pPr>
              <w:pStyle w:val="Compact"/>
              <w:jc w:val="left"/>
            </w:pPr>
            <w:r>
              <w:t xml:space="preserve">Monthly / Quarterly</w:t>
            </w:r>
          </w:p>
        </w:tc>
        <w:tc>
          <w:tcPr/>
          <w:p>
            <w:pPr>
              <w:pStyle w:val="Compact"/>
              <w:jc w:val="left"/>
            </w:pPr>
            <w:r>
              <w:t xml:space="preserve">Budget &amp; Variance Reports</w:t>
            </w:r>
          </w:p>
        </w:tc>
      </w:tr>
      <w:tr>
        <w:tc>
          <w:tcPr/>
          <w:p>
            <w:pPr>
              <w:pStyle w:val="Compact"/>
              <w:jc w:val="left"/>
            </w:pPr>
            <w:r>
              <w:t xml:space="preserve">2.7</w:t>
            </w:r>
          </w:p>
        </w:tc>
        <w:tc>
          <w:tcPr/>
          <w:p>
            <w:pPr>
              <w:pStyle w:val="Compact"/>
              <w:jc w:val="left"/>
            </w:pPr>
            <w:r>
              <w:t xml:space="preserve">Advisory support on Egyptian labor cost accounting, social insurance contributions (per the Egyptian Social Insurance Authority), and statutory employee benefits as applicable in</w:t>
            </w:r>
            <w:r>
              <w:t xml:space="preserve"> </w:t>
            </w:r>
            <w:r>
              <w:t xml:space="preserve">Egypt Alexandria</w:t>
            </w:r>
            <w:r>
              <w:t xml:space="preserve">.</w:t>
            </w:r>
          </w:p>
        </w:tc>
        <w:tc>
          <w:tcPr/>
          <w:p>
            <w:pPr>
              <w:pStyle w:val="Compact"/>
              <w:jc w:val="left"/>
            </w:pPr>
            <w:r>
              <w:t xml:space="preserve">As Required</w:t>
            </w:r>
          </w:p>
        </w:tc>
        <w:tc>
          <w:tcPr/>
          <w:p>
            <w:pPr>
              <w:pStyle w:val="Compact"/>
              <w:jc w:val="left"/>
            </w:pPr>
            <w:r>
              <w:t xml:space="preserve">Advisory Memos</w:t>
            </w:r>
          </w:p>
        </w:tc>
      </w:tr>
    </w:tbl>
    <w:p>
      <w:pPr>
        <w:pStyle w:val="BodyText"/>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Monthly professional fee for the</w:t>
            </w:r>
            <w:r>
              <w:t xml:space="preserve"> </w:t>
            </w:r>
            <w:r>
              <w:t xml:space="preserve">Accountant</w:t>
            </w:r>
            <w:r>
              <w:t xml:space="preserve"> </w:t>
            </w:r>
            <w:r>
              <w:t xml:space="preserve">(including salary, social insurance, and statutory benefits as mandated in</w:t>
            </w:r>
            <w:r>
              <w:t xml:space="preserve"> </w:t>
            </w:r>
            <w:r>
              <w:t xml:space="preserve">Egypt Alexandria</w:t>
            </w:r>
            <w:r>
              <w:t xml:space="preserv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One-time onboarding, system configuration, and knowledge-transfer fee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Annual professional development and IFRS/EAS certification renewal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Applicable Value Added Tax (VAT) at 14% as per Egyptian tax law</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82,180.00</w:t>
            </w:r>
          </w:p>
        </w:tc>
      </w:tr>
      <w:tr>
        <w:tc>
          <w:tcPr>
            <w:gridSpan w:val="4"/>
          </w:tcPr>
          <w:p>
            <w:pPr>
              <w:pStyle w:val="Compact"/>
              <w:jc w:val="left"/>
            </w:pPr>
            <w:r>
              <w:t xml:space="preserve">GRAND TOTAL (EGP)</w:t>
            </w:r>
          </w:p>
        </w:tc>
        <w:tc>
          <w:tcPr/>
          <w:p>
            <w:pPr>
              <w:pStyle w:val="Compact"/>
              <w:jc w:val="left"/>
            </w:pPr>
            <w:r>
              <w:t xml:space="preserve">659,180.00</w:t>
            </w:r>
          </w:p>
        </w:tc>
      </w:tr>
    </w:tbl>
    <w:p>
      <w:pPr>
        <w:pStyle w:val="BodyText"/>
      </w:pPr>
      <w:r>
        <w:t xml:space="preserve">Payment shall be made in monthly installments via bank transfer to the supplier's designated account at National Bank of Egypt, Alexandria Branch, within fifteen (15) business days of receipt of a valid tax invoice. The total contract value under this</w:t>
      </w:r>
      <w:r>
        <w:t xml:space="preserve"> </w:t>
      </w:r>
      <w:r>
        <w:t xml:space="preserve">Purchase Order</w:t>
      </w:r>
      <w:r>
        <w:t xml:space="preserve"> </w:t>
      </w:r>
      <w:r>
        <w:t xml:space="preserve">is</w:t>
      </w:r>
      <w:r>
        <w:t xml:space="preserve"> </w:t>
      </w:r>
      <w:r>
        <w:rPr>
          <w:bCs/>
          <w:b/>
        </w:rPr>
        <w:t xml:space="preserve">Six Hundred Fifty-Nine Thousand One Hundred Eighty Egyptian Pounds (EGP 659,180.00)</w:t>
      </w:r>
      <w:r>
        <w:t xml:space="preserve"> </w:t>
      </w:r>
      <w:r>
        <w:t xml:space="preserve">inclusive of all applicable taxes.</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countersignature by both parties. All terms are subject to the laws of the Arab Republic of Egypt, with jurisdiction vested in the competent courts of</w:t>
      </w:r>
      <w:r>
        <w:t xml:space="preserve"> </w:t>
      </w:r>
      <w:r>
        <w:t xml:space="preserve">Egypt Alexandria</w:t>
      </w:r>
      <w:r>
        <w:t xml:space="preserve">.</w:t>
      </w:r>
    </w:p>
    <w:p>
      <w:pPr>
        <w:numPr>
          <w:ilvl w:val="0"/>
          <w:numId w:val="1001"/>
        </w:numPr>
        <w:pStyle w:val="Compact"/>
      </w:pPr>
      <w:r>
        <w:t xml:space="preserve">The</w:t>
      </w:r>
      <w:r>
        <w:t xml:space="preserve"> </w:t>
      </w:r>
      <w:r>
        <w:t xml:space="preserve">Accountant</w:t>
      </w:r>
      <w:r>
        <w:t xml:space="preserve"> </w:t>
      </w:r>
      <w:r>
        <w:t xml:space="preserve">shall maintain full confidentiality of all financial data, trade secrets, and proprietary information of the Purchasing Entity. A separate Non-Disclosure Agreement (NDA) shall be executed prior to the commencement of duties.</w:t>
      </w:r>
    </w:p>
    <w:p>
      <w:pPr>
        <w:numPr>
          <w:ilvl w:val="0"/>
          <w:numId w:val="1001"/>
        </w:numPr>
        <w:pStyle w:val="Compact"/>
      </w:pPr>
      <w:r>
        <w:t xml:space="preserve">The Supplier guarantees that the</w:t>
      </w:r>
      <w:r>
        <w:t xml:space="preserve"> </w:t>
      </w:r>
      <w:r>
        <w:t xml:space="preserve">Accountant</w:t>
      </w:r>
      <w:r>
        <w:t xml:space="preserve"> </w:t>
      </w:r>
      <w:r>
        <w:t xml:space="preserve">holds a valid degree in Accounting or Finance from an accredited Egyptian university, possesses a minimum of five (5) years of progressive experience in corporate accounting within</w:t>
      </w:r>
      <w:r>
        <w:t xml:space="preserve"> </w:t>
      </w:r>
      <w:r>
        <w:t xml:space="preserve">Egypt Alexandria</w:t>
      </w:r>
      <w:r>
        <w:t xml:space="preserve">, and is registered with the Egyptian Institute of Chartered Accountants (EICA) or holds an equivalent professional certification.</w:t>
      </w:r>
    </w:p>
    <w:p>
      <w:pPr>
        <w:numPr>
          <w:ilvl w:val="0"/>
          <w:numId w:val="1001"/>
        </w:numPr>
        <w:pStyle w:val="Compact"/>
      </w:pPr>
      <w:r>
        <w:t xml:space="preserve">The</w:t>
      </w:r>
      <w:r>
        <w:t xml:space="preserve"> </w:t>
      </w:r>
      <w:r>
        <w:t xml:space="preserve">Accountant</w:t>
      </w:r>
      <w:r>
        <w:t xml:space="preserve"> </w:t>
      </w:r>
      <w:r>
        <w:t xml:space="preserve">shall work a standard schedule of forty (40) hours per week, Monday through Friday, at the Purchasing Entity's Alexandria office, with the option of up to ten (10) hours of remote work per month subject to prior written approval.</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of all accounting records, files, and system access to a successor</w:t>
      </w:r>
      <w:r>
        <w:t xml:space="preserve"> </w:t>
      </w:r>
      <w:r>
        <w:t xml:space="preserve">Accountant</w:t>
      </w:r>
      <w:r>
        <w:t xml:space="preserve"> </w:t>
      </w:r>
      <w:r>
        <w:t xml:space="preserve">or internal team within the notice period.</w:t>
      </w:r>
    </w:p>
    <w:p>
      <w:pPr>
        <w:numPr>
          <w:ilvl w:val="0"/>
          <w:numId w:val="1001"/>
        </w:numPr>
        <w:pStyle w:val="Compact"/>
      </w:pPr>
      <w:r>
        <w:t xml:space="preserve">All disputes arising from this</w:t>
      </w:r>
      <w:r>
        <w:t xml:space="preserve"> </w:t>
      </w:r>
      <w:r>
        <w:t xml:space="preserve">Purchase Order</w:t>
      </w:r>
      <w:r>
        <w:t xml:space="preserve"> </w:t>
      </w:r>
      <w:r>
        <w:t xml:space="preserve">shall first be subject to amicable negotiation. Failing resolution within thirty (30) days, the matter shall be referred to the Alexandria Commercial Court in accordance with Egyptian civil and commercial procedure.</w:t>
      </w:r>
    </w:p>
    <w:p>
      <w:pPr>
        <w:numPr>
          <w:ilvl w:val="0"/>
          <w:numId w:val="1001"/>
        </w:numPr>
        <w:pStyle w:val="Compact"/>
      </w:pPr>
      <w:r>
        <w:t xml:space="preserve">The Supplier shall bear full responsibility for the social insurance registration, end-of-service benefits, and all statutory employer obligations for the</w:t>
      </w:r>
      <w:r>
        <w:t xml:space="preserve"> </w:t>
      </w:r>
      <w:r>
        <w:t xml:space="preserve">Accountant</w:t>
      </w:r>
      <w:r>
        <w:t xml:space="preserve"> </w:t>
      </w:r>
      <w:r>
        <w:t xml:space="preserve">as prescribed by the Egyptian Social Insurance Law No. 148 of 2019, applicable to all workers in</w:t>
      </w:r>
      <w:r>
        <w:t xml:space="preserve"> </w:t>
      </w:r>
      <w:r>
        <w:t xml:space="preserve">Egypt Alexandria</w:t>
      </w:r>
      <w:r>
        <w:t xml:space="preserve">.</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the prior written consent of the Purchasing Entity. Any proposed substitution of the</w:t>
      </w:r>
      <w:r>
        <w:t xml:space="preserve"> </w:t>
      </w:r>
      <w:r>
        <w:t xml:space="preserve">Accountant</w:t>
      </w:r>
      <w:r>
        <w:t xml:space="preserve"> </w:t>
      </w:r>
      <w:r>
        <w:t xml:space="preserve">must be approved in writing by the Chief Financial Officer.</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Accountant</w:t>
      </w:r>
      <w:r>
        <w:t xml:space="preserve"> </w:t>
      </w:r>
      <w:r>
        <w:t xml:space="preserve">in</w:t>
      </w:r>
      <w:r>
        <w:t xml:space="preserve"> </w:t>
      </w:r>
      <w:r>
        <w:t xml:space="preserve">Egypt Alexandria</w:t>
      </w:r>
      <w:r>
        <w:t xml:space="preserve">. This document is executed in two (2) original copies, one for each party.</w:t>
      </w:r>
    </w:p>
    <w:p>
      <w:pPr>
        <w:pStyle w:val="BodyText"/>
      </w:pPr>
      <w:r>
        <w:rPr>
          <w:bCs/>
          <w:b/>
        </w:rPr>
        <w:t xml:space="preserve">For the Purchasing Entity</w:t>
      </w:r>
    </w:p>
    <w:p>
      <w:pPr>
        <w:pStyle w:val="BodyText"/>
      </w:pPr>
      <w:r>
        <w:t xml:space="preserve">Alexandria Commercial Development Group S.A.E.</w:t>
      </w:r>
    </w:p>
    <w:p>
      <w:pPr>
        <w:pStyle w:val="BodyText"/>
      </w:pPr>
      <w:r>
        <w:t xml:space="preserve">Name: _________________________</w:t>
      </w:r>
      <w:r>
        <w:br/>
      </w:r>
      <w:r>
        <w:t xml:space="preserve">Title: Chief Financial Officer</w:t>
      </w:r>
      <w:r>
        <w:br/>
      </w:r>
      <w:r>
        <w:t xml:space="preserve">Signature &amp; Company Stamp</w:t>
      </w:r>
      <w:r>
        <w:br/>
      </w:r>
      <w:r>
        <w:t xml:space="preserve">Date: _________________________</w:t>
      </w:r>
    </w:p>
    <w:p>
      <w:pPr>
        <w:pStyle w:val="BodyText"/>
      </w:pPr>
      <w:r>
        <w:rPr>
          <w:bCs/>
          <w:b/>
        </w:rPr>
        <w:t xml:space="preserve">For the Supplier</w:t>
      </w:r>
    </w:p>
    <w:p>
      <w:pPr>
        <w:pStyle w:val="BodyText"/>
      </w:pPr>
      <w:r>
        <w:t xml:space="preserve">Cairo-Alexandria Professional Accounting &amp; Financial Advisory Firm</w:t>
      </w:r>
    </w:p>
    <w:p>
      <w:pPr>
        <w:pStyle w:val="BodyText"/>
      </w:pPr>
      <w:r>
        <w:t xml:space="preserve">Name: _________________________</w:t>
      </w:r>
      <w:r>
        <w:br/>
      </w:r>
      <w:r>
        <w:t xml:space="preserve">Title: Managing Partner</w:t>
      </w:r>
      <w:r>
        <w:br/>
      </w:r>
      <w:r>
        <w:t xml:space="preserve">Signature &amp; Company Stamp</w:t>
      </w:r>
      <w:r>
        <w:br/>
      </w:r>
      <w:r>
        <w:t xml:space="preserve">Date: _________________________</w:t>
      </w:r>
    </w:p>
    <w:p>
      <w:pPr>
        <w:pStyle w:val="BodyText"/>
      </w:pPr>
      <w:r>
        <w:t xml:space="preserve">Purchase Order No. PO-EGY-ALX-2025-04782 | Issued in Alexandria, Egypt | This document is valid only when bearing the official stamps and signatures of both parties. Unauthorized reproduction or distribution is prohibited under Egyptian intellectual property and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Egypt Alexandria</dc:title>
  <dc:creator/>
  <dc:language>en</dc:language>
  <cp:keywords/>
  <dcterms:created xsi:type="dcterms:W3CDTF">2026-10-10T09:17:40Z</dcterms:created>
  <dcterms:modified xsi:type="dcterms:W3CDTF">2026-10-10T09:17:40Z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