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Procurement of Professional Accountant Services — 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PO-FRA-2025-04871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30 June 2025</w:t>
            </w:r>
          </w:p>
        </w:tc>
      </w:tr>
      <w:tr>
        <w:tc>
          <w:tcPr/>
          <w:p>
            <w:pPr>
              <w:pStyle w:val="Compact"/>
              <w:jc w:val="left"/>
            </w:pPr>
            <w:r>
              <w:t xml:space="preserve">Purchasing Entity:</w:t>
            </w:r>
          </w:p>
        </w:tc>
        <w:tc>
          <w:tcPr/>
          <w:p>
            <w:pPr>
              <w:pStyle w:val="Compact"/>
              <w:jc w:val="left"/>
            </w:pPr>
            <w:r>
              <w:t xml:space="preserve">Frankfurt Financial Services GmbH, Mainzer Landstrasse 142, 60329 Frankfurt am Main, Germany</w:t>
            </w:r>
          </w:p>
        </w:tc>
      </w:tr>
      <w:tr>
        <w:tc>
          <w:tcPr/>
          <w:p>
            <w:pPr>
              <w:pStyle w:val="Compact"/>
              <w:jc w:val="left"/>
            </w:pPr>
            <w:r>
              <w:t xml:space="preserve">Supplier / Service Provider:</w:t>
            </w:r>
          </w:p>
        </w:tc>
        <w:tc>
          <w:tcPr/>
          <w:p>
            <w:pPr>
              <w:pStyle w:val="Compact"/>
              <w:jc w:val="left"/>
            </w:pPr>
            <w:r>
              <w:t xml:space="preserve">Rhein-Main Accounting Partners UG, Zeil 88, 60313 Frankfurt am Main, Germany</w:t>
            </w:r>
          </w:p>
        </w:tc>
      </w:tr>
      <w:tr>
        <w:tc>
          <w:tcPr/>
          <w:p>
            <w:pPr>
              <w:pStyle w:val="Compact"/>
              <w:jc w:val="left"/>
            </w:pPr>
            <w:r>
              <w:t xml:space="preserve">Contact Person:</w:t>
            </w:r>
          </w:p>
        </w:tc>
        <w:tc>
          <w:tcPr/>
          <w:p>
            <w:pPr>
              <w:pStyle w:val="Compact"/>
              <w:jc w:val="left"/>
            </w:pPr>
            <w:r>
              <w:t xml:space="preserve">Dr. Heinrich Vogel, Head of Procurement, Frankfurt Financial Services GmbH</w:t>
            </w:r>
          </w:p>
        </w:tc>
      </w:tr>
      <w:tr>
        <w:tc>
          <w:tcPr/>
          <w:p>
            <w:pPr>
              <w:pStyle w:val="Compact"/>
              <w:jc w:val="left"/>
            </w:pPr>
            <w:r>
              <w:t xml:space="preserve">Payment Terms:</w:t>
            </w:r>
          </w:p>
        </w:tc>
        <w:tc>
          <w:tcPr/>
          <w:p>
            <w:pPr>
              <w:pStyle w:val="Compact"/>
              <w:jc w:val="left"/>
            </w:pPr>
            <w:r>
              <w:t xml:space="preserve">Net 30 days from invoice date, wire transfer to SEPA account</w:t>
            </w:r>
          </w:p>
        </w:tc>
      </w:tr>
      <w:tr>
        <w:tc>
          <w:tcPr/>
          <w:p>
            <w:pPr>
              <w:pStyle w:val="Compact"/>
              <w:jc w:val="left"/>
            </w:pPr>
            <w:r>
              <w:t xml:space="preserve">Currency:</w:t>
            </w:r>
          </w:p>
        </w:tc>
        <w:tc>
          <w:tcPr/>
          <w:p>
            <w:pPr>
              <w:pStyle w:val="Compact"/>
              <w:jc w:val="left"/>
            </w:pPr>
            <w:r>
              <w:t xml:space="preserve">Euro (EUR)</w:t>
            </w:r>
          </w:p>
        </w:tc>
      </w:tr>
    </w:tbl>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Frankfurt Financial Services GmbH to formally request and authorize the procurement of qualified</w:t>
      </w:r>
      <w:r>
        <w:t xml:space="preserve"> </w:t>
      </w:r>
      <w:r>
        <w:t xml:space="preserve">Accountant</w:t>
      </w:r>
      <w:r>
        <w:t xml:space="preserve"> </w:t>
      </w:r>
      <w:r>
        <w:t xml:space="preserve">services to be rendered in</w:t>
      </w:r>
      <w:r>
        <w:t xml:space="preserve"> </w:t>
      </w:r>
      <w:r>
        <w:t xml:space="preserve">Germany Frankfurt</w:t>
      </w:r>
      <w:r>
        <w:t xml:space="preserve">. The purpose of this document is to establish the contractual framework, define the scope of professional accounting work required, specify deliverables, and set forth the financial obligations of both parties in accordance with German commercial law (Handelsgesetzbuch, HGB) and applicable European Union procurement regulations.</w:t>
      </w:r>
    </w:p>
    <w:p>
      <w:pPr>
        <w:pStyle w:val="BodyTex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provide comprehensive financial reporting, tax compliance, and audit support services specifically tailored to the operational needs of our Frankfurt-based entity. All work shall be performed in</w:t>
      </w:r>
      <w:r>
        <w:t xml:space="preserve"> </w:t>
      </w:r>
      <w:r>
        <w:t xml:space="preserve">Germany Frankfurt</w:t>
      </w:r>
      <w:r>
        <w:t xml:space="preserve">, with primary office access at our headquarters on Mainzer Landstrasse, and shall comply with the standards set forth by the Institut der Wirtschaftsprüfer (IDW) and the German Federal Tax Advisory Board (Bundessteuerberaterkammer).</w:t>
      </w:r>
    </w:p>
    <w:bookmarkEnd w:id="21"/>
    <w:bookmarkStart w:id="22" w:name="description-of-goods-and-services"/>
    <w:p>
      <w:pPr>
        <w:pStyle w:val="Heading2"/>
      </w:pPr>
      <w:r>
        <w:t xml:space="preserve">2.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financial statement preparation and reconciliation for the Frankfurt entity, including balance sheet, profit and loss account, and cash flow statement in accordance with HGB and IFRS standards.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Annual tax filing and VAT (Umsatzsteuer) compliance reporting for Germany Frankfurt jurisdiction, including preparation of corporate income tax (Körperschaftsteuer) and trade tax (Gewerbesteuer) returns.</w:t>
            </w:r>
          </w:p>
        </w:tc>
        <w:tc>
          <w:tcPr/>
          <w:p>
            <w:pPr>
              <w:pStyle w:val="Compact"/>
              <w:jc w:val="left"/>
            </w:pPr>
            <w:r>
              <w:t xml:space="preserve">1 annual cycle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Quarterly audit support and internal control review for the Accountant engagement, including preparation of working papers and coordination with external auditors in Frankfurt.</w:t>
            </w:r>
          </w:p>
        </w:tc>
        <w:tc>
          <w:tcPr/>
          <w:p>
            <w:pPr>
              <w:pStyle w:val="Compact"/>
              <w:jc w:val="left"/>
            </w:pPr>
            <w:r>
              <w:t xml:space="preserve">4 quarters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Ad-hoc financial advisory and regulatory compliance consulting for Germany Frankfurt operations, including support for BaFin reporting obligations and cross-border transaction documentation.</w:t>
            </w:r>
          </w:p>
        </w:tc>
        <w:tc>
          <w:tcPr/>
          <w:p>
            <w:pPr>
              <w:pStyle w:val="Compact"/>
              <w:jc w:val="left"/>
            </w:pPr>
            <w:r>
              <w:t xml:space="preserve">As required (est. 80 hrs)</w:t>
            </w:r>
          </w:p>
        </w:tc>
        <w:tc>
          <w:tcPr/>
          <w:p>
            <w:pPr>
              <w:pStyle w:val="Compact"/>
              <w:jc w:val="left"/>
            </w:pPr>
            <w:r>
              <w:t xml:space="preserve">150.00/hr</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On-site Accountant presence at Frankfurt headquarters for weekly coordination meetings, document review, and direct liaison with the CFO and treasury department.</w:t>
            </w:r>
          </w:p>
        </w:tc>
        <w:tc>
          <w:tcPr/>
          <w:p>
            <w:pPr>
              <w:pStyle w:val="Compact"/>
              <w:jc w:val="left"/>
            </w:pPr>
            <w:r>
              <w:t xml:space="preserve">52 weeks</w:t>
            </w:r>
          </w:p>
        </w:tc>
        <w:tc>
          <w:tcPr/>
          <w:p>
            <w:pPr>
              <w:pStyle w:val="Compact"/>
              <w:jc w:val="left"/>
            </w:pPr>
            <w:r>
              <w:t xml:space="preserve">1,800.00</w:t>
            </w:r>
          </w:p>
        </w:tc>
        <w:tc>
          <w:tcPr/>
          <w:p>
            <w:pPr>
              <w:pStyle w:val="Compact"/>
              <w:jc w:val="left"/>
            </w:pPr>
            <w:r>
              <w:t xml:space="preserve">93,600.00</w:t>
            </w:r>
          </w:p>
        </w:tc>
      </w:tr>
      <w:tr>
        <w:tc>
          <w:tcPr>
            <w:gridSpan w:val="4"/>
          </w:tcPr>
          <w:p>
            <w:pPr>
              <w:pStyle w:val="Compact"/>
              <w:jc w:val="left"/>
            </w:pPr>
            <w:r>
              <w:t xml:space="preserve">TOTAL PURCHASE ORDER VALUE (incl. 19% German VAT):</w:t>
            </w:r>
          </w:p>
        </w:tc>
        <w:tc>
          <w:tcPr/>
          <w:p>
            <w:pPr>
              <w:pStyle w:val="Compact"/>
              <w:jc w:val="left"/>
            </w:pPr>
            <w:r>
              <w:t xml:space="preserve">211,700.00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procurement instrument. Acceptance of this</w:t>
      </w:r>
      <w:r>
        <w:t xml:space="preserve"> </w:t>
      </w:r>
      <w:r>
        <w:t xml:space="preserve">Purchase Order</w:t>
      </w:r>
      <w:r>
        <w:t xml:space="preserve"> </w:t>
      </w:r>
      <w:r>
        <w:t xml:space="preserve">by the supplier shall be confirmed in writing within five (5) business days of receipt. Failure to confirm within this period shall be interpreted as acceptance under German civil law (BGB § 145).</w:t>
      </w:r>
    </w:p>
    <w:p>
      <w:pPr>
        <w:pStyle w:val="BodyText"/>
      </w:pPr>
      <w:r>
        <w:rPr>
          <w:bCs/>
          <w:b/>
        </w:rPr>
        <w:t xml:space="preserve">3.2</w:t>
      </w:r>
      <w:r>
        <w:t xml:space="preserve"> </w:t>
      </w:r>
      <w:r>
        <w:t xml:space="preserve">The</w:t>
      </w:r>
      <w:r>
        <w:t xml:space="preserve"> </w:t>
      </w:r>
      <w:r>
        <w:t xml:space="preserve">Accountant</w:t>
      </w:r>
      <w:r>
        <w:t xml:space="preserve"> </w:t>
      </w:r>
      <w:r>
        <w:t xml:space="preserve">engaged pursuant to this order shall maintain professional indemnity insurance with a minimum coverage of EUR 2,000,000 and shall be a registered member of the Bundessteuerberaterkammer or the IDW. All professional qualifications must be verifiable and current as of the date of service commencement in</w:t>
      </w:r>
      <w:r>
        <w:t xml:space="preserve"> </w:t>
      </w:r>
      <w:r>
        <w:t xml:space="preserve">Germany Frankfurt</w:t>
      </w:r>
      <w:r>
        <w:t xml:space="preserve">.</w:t>
      </w:r>
    </w:p>
    <w:p>
      <w:pPr>
        <w:pStyle w:val="BodyText"/>
      </w:pPr>
      <w:r>
        <w:rPr>
          <w:bCs/>
          <w:b/>
        </w:rPr>
        <w:t xml:space="preserve">3.3</w:t>
      </w:r>
      <w:r>
        <w:t xml:space="preserve"> </w:t>
      </w:r>
      <w:r>
        <w:t xml:space="preserve">All services shall be performed in</w:t>
      </w:r>
      <w:r>
        <w:t xml:space="preserve"> </w:t>
      </w:r>
      <w:r>
        <w:t xml:space="preserve">Germany Frankfurt</w:t>
      </w:r>
      <w:r>
        <w:t xml:space="preserve"> </w:t>
      </w:r>
      <w:r>
        <w:t xml:space="preserve">unless otherwise agreed in writing. The</w:t>
      </w:r>
      <w:r>
        <w:t xml:space="preserve"> </w:t>
      </w:r>
      <w:r>
        <w:t xml:space="preserve">Accountant</w:t>
      </w:r>
      <w:r>
        <w:t xml:space="preserve"> </w:t>
      </w:r>
      <w:r>
        <w:t xml:space="preserve">shall comply with all data protection requirements under the German Federal Data Protection Act (BDSG) and the EU General Data Protection Regulation (GDPR) when handling financial records and personal data of employees and clients.</w:t>
      </w:r>
    </w:p>
    <w:p>
      <w:pPr>
        <w:pStyle w:val="BodyText"/>
      </w:pPr>
      <w:r>
        <w:rPr>
          <w:bCs/>
          <w:b/>
        </w:rPr>
        <w:t xml:space="preserve">3.4</w:t>
      </w:r>
      <w:r>
        <w:t xml:space="preserve"> </w:t>
      </w:r>
      <w:r>
        <w:t xml:space="preserve">Payment shall be made via SEPA bank transfer to the account designated by the supplier. Invoices must reference this</w:t>
      </w:r>
      <w:r>
        <w:t xml:space="preserve"> </w:t>
      </w:r>
      <w:r>
        <w:t xml:space="preserve">Purchase Order</w:t>
      </w:r>
      <w:r>
        <w:t xml:space="preserve"> </w:t>
      </w:r>
      <w:r>
        <w:t xml:space="preserve">number (PO-FRA-2025-04871) to ensure proper reconciliation. Late payments shall incur interest at the statutory rate under HGB § 288.</w:t>
      </w:r>
    </w:p>
    <w:p>
      <w:pPr>
        <w:pStyle w:val="BodyText"/>
      </w:pPr>
      <w:r>
        <w:rPr>
          <w:bCs/>
          <w:b/>
        </w:rPr>
        <w:t xml:space="preserve">3.5</w:t>
      </w:r>
      <w:r>
        <w:t xml:space="preserve"> </w:t>
      </w:r>
      <w:r>
        <w:t xml:space="preserve">The supplier warrants that the</w:t>
      </w:r>
      <w:r>
        <w:t xml:space="preserve"> </w:t>
      </w:r>
      <w:r>
        <w:t xml:space="preserve">Accountant</w:t>
      </w:r>
      <w:r>
        <w:t xml:space="preserve"> </w:t>
      </w:r>
      <w:r>
        <w:t xml:space="preserve">services delivered shall meet the professional standards expected in the financial district of</w:t>
      </w:r>
      <w:r>
        <w:t xml:space="preserve"> </w:t>
      </w:r>
      <w:r>
        <w:t xml:space="preserve">Germany Frankfurt</w:t>
      </w:r>
      <w:r>
        <w:t xml:space="preserve"> </w:t>
      </w:r>
      <w:r>
        <w:t xml:space="preserve">and shall be free from material errors. Any discrepancies identified during the engagement period shall be corrected at no additional cost within ten (10) business days.</w:t>
      </w:r>
    </w:p>
    <w:p>
      <w:pPr>
        <w:pStyle w:val="BodyText"/>
      </w:pPr>
      <w:r>
        <w:rPr>
          <w:bCs/>
          <w:b/>
        </w:rPr>
        <w:t xml:space="preserve">3.6</w:t>
      </w:r>
      <w:r>
        <w:t xml:space="preserve"> </w:t>
      </w:r>
      <w:r>
        <w:t xml:space="preserve">This</w:t>
      </w:r>
      <w:r>
        <w:t xml:space="preserve"> </w:t>
      </w:r>
      <w:r>
        <w:t xml:space="preserve">Purchase Order</w:t>
      </w:r>
      <w:r>
        <w:t xml:space="preserve"> </w:t>
      </w:r>
      <w:r>
        <w:t xml:space="preserve">may be terminated by either party with thirty (30) days written notice. In the event of termination, the supplier shall deliver all completed work product and financial documentation to Frankfurt Financial Services GmbH within fourteen (14) days.</w:t>
      </w:r>
    </w:p>
    <w:p>
      <w:pPr>
        <w:pStyle w:val="BodyText"/>
      </w:pPr>
      <w:r>
        <w:rPr>
          <w:bCs/>
          <w:b/>
        </w:rPr>
        <w:t xml:space="preserve">3.7</w:t>
      </w:r>
      <w:r>
        <w:t xml:space="preserve"> </w:t>
      </w:r>
      <w:r>
        <w:t xml:space="preserve">Governing law for this</w:t>
      </w:r>
      <w:r>
        <w:t xml:space="preserve"> </w:t>
      </w:r>
      <w:r>
        <w:t xml:space="preserve">Purchase Order</w:t>
      </w:r>
      <w:r>
        <w:t xml:space="preserve"> </w:t>
      </w:r>
      <w:r>
        <w:t xml:space="preserve">shall be the law of the Federal Republic of Germany. Any disputes arising from this procurement shall be subject to the exclusive jurisdiction of the competent courts in Frankfurt am Main, Germany.</w:t>
      </w:r>
    </w:p>
    <w:bookmarkEnd w:id="23"/>
    <w:bookmarkStart w:id="24" w:name="authorization-and-signatures"/>
    <w:p>
      <w:pPr>
        <w:pStyle w:val="Heading2"/>
      </w:pPr>
      <w:r>
        <w:t xml:space="preserve">4. Authorization and Signatures</w:t>
      </w:r>
    </w:p>
    <w:p>
      <w:pPr>
        <w:pStyle w:val="FirstParagraph"/>
      </w:pPr>
      <w:r>
        <w:t xml:space="preserve">By signing below, the authorized representatives of both parties confirm that this</w:t>
      </w:r>
      <w:r>
        <w:t xml:space="preserve"> </w:t>
      </w:r>
      <w:r>
        <w:t xml:space="preserve">Purchase Order</w:t>
      </w:r>
      <w:r>
        <w:t xml:space="preserve"> </w:t>
      </w:r>
      <w:r>
        <w:t xml:space="preserve">for</w:t>
      </w:r>
      <w:r>
        <w:t xml:space="preserve"> </w:t>
      </w:r>
      <w:r>
        <w:t xml:space="preserve">Accountant</w:t>
      </w:r>
      <w:r>
        <w:t xml:space="preserve"> </w:t>
      </w:r>
      <w:r>
        <w:t xml:space="preserve">services in</w:t>
      </w:r>
      <w:r>
        <w:t xml:space="preserve"> </w:t>
      </w:r>
      <w:r>
        <w:t xml:space="preserve">Germany Frankfurt</w:t>
      </w:r>
      <w:r>
        <w:t xml:space="preserve"> </w:t>
      </w:r>
      <w:r>
        <w:t xml:space="preserve">has been reviewed, approved, and is hereby executed in full force and effect.</w:t>
      </w:r>
    </w:p>
    <w:p>
      <w:pPr>
        <w:pStyle w:val="BodyText"/>
      </w:pPr>
      <w:r>
        <w:rPr>
          <w:bCs/>
          <w:b/>
        </w:rPr>
        <w:t xml:space="preserve">For Frankfurt Financial Services GmbH (Buyer)</w:t>
      </w:r>
    </w:p>
    <w:p>
      <w:pPr>
        <w:pStyle w:val="BodyText"/>
      </w:pPr>
      <w:r>
        <w:t xml:space="preserve">Dr. Heinrich Vogel</w:t>
      </w:r>
      <w:r>
        <w:br/>
      </w:r>
      <w:r>
        <w:t xml:space="preserve">Head of Procurement</w:t>
      </w:r>
      <w:r>
        <w:br/>
      </w:r>
      <w:r>
        <w:t xml:space="preserve">Date: _______________</w:t>
      </w:r>
    </w:p>
    <w:p>
      <w:pPr>
        <w:pStyle w:val="BodyText"/>
      </w:pPr>
      <w:r>
        <w:rPr>
          <w:bCs/>
          <w:b/>
        </w:rPr>
        <w:t xml:space="preserve">For Rhein-Main Accounting Partners UG (Supplier)</w:t>
      </w:r>
    </w:p>
    <w:p>
      <w:pPr>
        <w:pStyle w:val="BodyText"/>
      </w:pPr>
      <w:r>
        <w:t xml:space="preserve">Frau Margarete Steinbach</w:t>
      </w:r>
      <w:r>
        <w:br/>
      </w:r>
      <w:r>
        <w:t xml:space="preserve">Managing Director</w:t>
      </w:r>
      <w:r>
        <w:br/>
      </w:r>
      <w:r>
        <w:t xml:space="preserve">Date: _______________</w:t>
      </w:r>
    </w:p>
    <w:p>
      <w:pPr>
        <w:pStyle w:val="BodyText"/>
      </w:pPr>
      <w:r>
        <w:t xml:space="preserve">This Purchase Order document is valid for 90 days from the date of issue. Document reference: PO-FRA-2025-04871. Issued in Frankfurt am Main, Germany. © 2025 Frankfurt Financial Services GmbH.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Germany Frankfurt</dc:title>
  <dc:creator/>
  <dc:language>en</dc:language>
  <cp:keywords/>
  <dcterms:created xsi:type="dcterms:W3CDTF">2026-10-10T11:30:19Z</dcterms:created>
  <dcterms:modified xsi:type="dcterms:W3CDTF">2026-10-10T11:30:19Z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