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purchase-order"/>
    <w:p>
      <w:pPr>
        <w:pStyle w:val="Heading1"/>
      </w:pPr>
      <w:r>
        <w:t xml:space="preserve">PURCHASE ORDER</w:t>
      </w:r>
    </w:p>
    <w:p>
      <w:pPr>
        <w:pStyle w:val="FirstParagraph"/>
      </w:pPr>
      <w:r>
        <w:t xml:space="preserve">Procurement of Professional Accountant Services — Munich, Germany</w:t>
      </w:r>
    </w:p>
    <w:p>
      <w:pPr>
        <w:pStyle w:val="BodyText"/>
      </w:pPr>
      <w:r>
        <w:t xml:space="preserve">PO No. DE-MUC-2025-04782</w:t>
      </w:r>
    </w:p>
    <w:bookmarkEnd w:id="20"/>
    <w:bookmarkStart w:id="21" w:name="issuing-company-buyer"/>
    <w:p>
      <w:pPr>
        <w:pStyle w:val="Heading3"/>
      </w:pPr>
      <w:r>
        <w:t xml:space="preserve">Issuing Company (Buyer)</w:t>
      </w:r>
    </w:p>
    <w:p>
      <w:pPr>
        <w:pStyle w:val="FirstParagraph"/>
      </w:pPr>
      <w:r>
        <w:t xml:space="preserve">Company:</w:t>
      </w:r>
      <w:r>
        <w:t xml:space="preserve"> </w:t>
      </w:r>
      <w:r>
        <w:t xml:space="preserve">Bavaria Industrial Holdings GmbH</w:t>
      </w:r>
    </w:p>
    <w:p>
      <w:pPr>
        <w:pStyle w:val="BodyText"/>
      </w:pPr>
      <w:r>
        <w:t xml:space="preserve">Address:</w:t>
      </w:r>
      <w:r>
        <w:t xml:space="preserve"> </w:t>
      </w:r>
      <w:r>
        <w:t xml:space="preserve">Leopoldstraße 182, 80802 Munich, Germany</w:t>
      </w:r>
    </w:p>
    <w:p>
      <w:pPr>
        <w:pStyle w:val="BodyText"/>
      </w:pPr>
      <w:r>
        <w:t xml:space="preserve">Tax ID (Steuernummer):</w:t>
      </w:r>
      <w:r>
        <w:t xml:space="preserve"> </w:t>
      </w:r>
      <w:r>
        <w:t xml:space="preserve">143/218/90457</w:t>
      </w:r>
    </w:p>
    <w:p>
      <w:pPr>
        <w:pStyle w:val="BodyText"/>
      </w:pPr>
      <w:r>
        <w:t xml:space="preserve">VAT ID (USt-IdNr.):</w:t>
      </w:r>
      <w:r>
        <w:t xml:space="preserve"> </w:t>
      </w:r>
      <w:r>
        <w:t xml:space="preserve">DE315482967</w:t>
      </w:r>
    </w:p>
    <w:p>
      <w:pPr>
        <w:pStyle w:val="BodyText"/>
      </w:pPr>
      <w:r>
        <w:t xml:space="preserve">HRB:</w:t>
      </w:r>
      <w:r>
        <w:t xml:space="preserve"> </w:t>
      </w:r>
      <w:r>
        <w:t xml:space="preserve">HRB 284716, Amtsgericht München</w:t>
      </w:r>
    </w:p>
    <w:p>
      <w:pPr>
        <w:pStyle w:val="BodyText"/>
      </w:pPr>
      <w:r>
        <w:t xml:space="preserve">Contact:</w:t>
      </w:r>
      <w:r>
        <w:t xml:space="preserve"> </w:t>
      </w:r>
      <w:r>
        <w:t xml:space="preserve">procurement@bavaria-industrial.de</w:t>
      </w:r>
    </w:p>
    <w:bookmarkEnd w:id="21"/>
    <w:bookmarkStart w:id="22" w:name="supplier-service-provider"/>
    <w:p>
      <w:pPr>
        <w:pStyle w:val="Heading3"/>
      </w:pPr>
      <w:r>
        <w:t xml:space="preserve">Supplier / Service Provider</w:t>
      </w:r>
    </w:p>
    <w:p>
      <w:pPr>
        <w:pStyle w:val="FirstParagraph"/>
      </w:pPr>
      <w:r>
        <w:t xml:space="preserve">Firm:</w:t>
      </w:r>
      <w:r>
        <w:t xml:space="preserve"> </w:t>
      </w:r>
      <w:r>
        <w:t xml:space="preserve">Alpin Finanz- und Steuerberatungsgesellschaft mbH</w:t>
      </w:r>
    </w:p>
    <w:p>
      <w:pPr>
        <w:pStyle w:val="BodyText"/>
      </w:pPr>
      <w:r>
        <w:t xml:space="preserve">Address:</w:t>
      </w:r>
      <w:r>
        <w:t xml:space="preserve"> </w:t>
      </w:r>
      <w:r>
        <w:t xml:space="preserve">Max-Joseph-Platz 7, 80539 Munich, Germany</w:t>
      </w:r>
    </w:p>
    <w:p>
      <w:pPr>
        <w:pStyle w:val="BodyText"/>
      </w:pPr>
      <w:r>
        <w:t xml:space="preserve">Tax ID (Steuernummer):</w:t>
      </w:r>
      <w:r>
        <w:t xml:space="preserve"> </w:t>
      </w:r>
      <w:r>
        <w:t xml:space="preserve">143/112/44821</w:t>
      </w:r>
    </w:p>
    <w:p>
      <w:pPr>
        <w:pStyle w:val="BodyText"/>
      </w:pPr>
      <w:r>
        <w:t xml:space="preserve">VAT ID (USt-IdNr.):</w:t>
      </w:r>
      <w:r>
        <w:t xml:space="preserve"> </w:t>
      </w:r>
      <w:r>
        <w:t xml:space="preserve">DE298761543</w:t>
      </w:r>
    </w:p>
    <w:p>
      <w:pPr>
        <w:pStyle w:val="BodyText"/>
      </w:pPr>
      <w:r>
        <w:t xml:space="preserve">HRB:</w:t>
      </w:r>
      <w:r>
        <w:t xml:space="preserve"> </w:t>
      </w:r>
      <w:r>
        <w:t xml:space="preserve">HRB 192847, Amtsgericht München</w:t>
      </w:r>
    </w:p>
    <w:p>
      <w:pPr>
        <w:pStyle w:val="BodyText"/>
      </w:pPr>
      <w:r>
        <w:t xml:space="preserve">Contact:</w:t>
      </w:r>
      <w:r>
        <w:t xml:space="preserve"> </w:t>
      </w:r>
      <w:r>
        <w:t xml:space="preserve">office@alpin-finanz.de</w:t>
      </w:r>
    </w:p>
    <w:bookmarkEnd w:id="22"/>
    <w:bookmarkStart w:id="23" w:name="order-details"/>
    <w:p>
      <w:pPr>
        <w:pStyle w:val="Heading3"/>
      </w:pPr>
      <w:r>
        <w:t xml:space="preserve">Order Details</w:t>
      </w:r>
    </w:p>
    <w:p>
      <w:pPr>
        <w:pStyle w:val="FirstParagraph"/>
      </w:pPr>
      <w:r>
        <w:t xml:space="preserve">Date of Issue:</w:t>
      </w:r>
      <w:r>
        <w:t xml:space="preserve"> </w:t>
      </w:r>
      <w:r>
        <w:t xml:space="preserve">14 June 2025</w:t>
      </w:r>
    </w:p>
    <w:p>
      <w:pPr>
        <w:pStyle w:val="BodyText"/>
      </w:pPr>
      <w:r>
        <w:t xml:space="preserve">Required Delivery / Start Date:</w:t>
      </w:r>
      <w:r>
        <w:t xml:space="preserve"> </w:t>
      </w:r>
      <w:r>
        <w:t xml:space="preserve">01 July 2025</w:t>
      </w:r>
    </w:p>
    <w:p>
      <w:pPr>
        <w:pStyle w:val="BodyText"/>
      </w:pPr>
      <w:r>
        <w:t xml:space="preserve">Contract Duration:</w:t>
      </w:r>
      <w:r>
        <w:t xml:space="preserve"> </w:t>
      </w:r>
      <w:r>
        <w:t xml:space="preserve">12 months (renewable)</w:t>
      </w:r>
    </w:p>
    <w:p>
      <w:pPr>
        <w:pStyle w:val="BodyText"/>
      </w:pPr>
      <w:r>
        <w:t xml:space="preserve">Currency:</w:t>
      </w:r>
      <w:r>
        <w:t xml:space="preserve"> </w:t>
      </w:r>
      <w:r>
        <w:t xml:space="preserve">EUR (€)</w:t>
      </w:r>
    </w:p>
    <w:p>
      <w:pPr>
        <w:pStyle w:val="BodyText"/>
      </w:pPr>
      <w:r>
        <w:t xml:space="preserve">Governing Law:</w:t>
      </w:r>
      <w:r>
        <w:t xml:space="preserve"> </w:t>
      </w:r>
      <w:r>
        <w:t xml:space="preserve">German Civil Code (BGB), Munich jurisdiction</w:t>
      </w:r>
    </w:p>
    <w:bookmarkEnd w:id="23"/>
    <w:bookmarkStart w:id="24" w:name="payment-terms"/>
    <w:p>
      <w:pPr>
        <w:pStyle w:val="Heading3"/>
      </w:pPr>
      <w:r>
        <w:t xml:space="preserve">Payment Terms</w:t>
      </w:r>
    </w:p>
    <w:p>
      <w:pPr>
        <w:pStyle w:val="FirstParagraph"/>
      </w:pPr>
      <w:r>
        <w:t xml:space="preserve">Payment Method:</w:t>
      </w:r>
      <w:r>
        <w:t xml:space="preserve"> </w:t>
      </w:r>
      <w:r>
        <w:t xml:space="preserve">SEPA Bank Transfer</w:t>
      </w:r>
    </w:p>
    <w:p>
      <w:pPr>
        <w:pStyle w:val="BodyText"/>
      </w:pPr>
      <w:r>
        <w:t xml:space="preserve">IBAN:</w:t>
      </w:r>
      <w:r>
        <w:t xml:space="preserve"> </w:t>
      </w:r>
      <w:r>
        <w:t xml:space="preserve">DE89 3704 0044 0532 0130 00</w:t>
      </w:r>
    </w:p>
    <w:p>
      <w:pPr>
        <w:pStyle w:val="BodyText"/>
      </w:pPr>
      <w:r>
        <w:t xml:space="preserve">BIC:</w:t>
      </w:r>
      <w:r>
        <w:t xml:space="preserve"> </w:t>
      </w:r>
      <w:r>
        <w:t xml:space="preserve">COBADEFFXXX</w:t>
      </w:r>
    </w:p>
    <w:p>
      <w:pPr>
        <w:pStyle w:val="BodyText"/>
      </w:pPr>
      <w:r>
        <w:t xml:space="preserve">Payment Due:</w:t>
      </w:r>
      <w:r>
        <w:t xml:space="preserve"> </w:t>
      </w:r>
      <w:r>
        <w:t xml:space="preserve">Net 30 days from invoice date</w:t>
      </w:r>
    </w:p>
    <w:p>
      <w:pPr>
        <w:pStyle w:val="BodyText"/>
      </w:pPr>
      <w:r>
        <w:t xml:space="preserve">Invoicing:</w:t>
      </w:r>
      <w:r>
        <w:t xml:space="preserve"> </w:t>
      </w:r>
      <w:r>
        <w:t xml:space="preserve">Monthly, in accordance with § 14 UStG (Germany)</w:t>
      </w:r>
    </w:p>
    <w:bookmarkEnd w:id="24"/>
    <w:bookmarkStart w:id="25" w:name="line-items-accountant-services-procured"/>
    <w:p>
      <w:pPr>
        <w:pStyle w:val="Heading2"/>
      </w:pPr>
      <w:r>
        <w:t xml:space="preserve">Line Items — Accountant Services Procured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Accountant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VAT (19%)</w:t>
            </w:r>
          </w:p>
        </w:tc>
      </w:tr>
      <w:tr>
        <w:tc>
          <w:tcPr/>
          <w:p>
            <w:pPr>
              <w:pStyle w:val="Compact"/>
              <w:jc w:val="left"/>
            </w:pPr>
            <w:r>
              <w:t xml:space="preserve">01</w:t>
            </w:r>
          </w:p>
        </w:tc>
        <w:tc>
          <w:tcPr/>
          <w:p>
            <w:pPr>
              <w:pStyle w:val="Compact"/>
              <w:jc w:val="left"/>
            </w:pPr>
            <w:r>
              <w:t xml:space="preserve">Monthly statutory financial accounting and bookkeeping (Buchführung) in compliance with HGB and GoBD regulations for Bavaria Industrial Holdings GmbH, Munich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2,450.00</w:t>
            </w:r>
          </w:p>
        </w:tc>
        <w:tc>
          <w:tcPr/>
          <w:p>
            <w:pPr>
              <w:pStyle w:val="Compact"/>
              <w:jc w:val="left"/>
            </w:pPr>
            <w:r>
              <w:t xml:space="preserve">29,400.00</w:t>
            </w:r>
          </w:p>
        </w:tc>
        <w:tc>
          <w:tcPr/>
          <w:p>
            <w:pPr>
              <w:pStyle w:val="Compact"/>
              <w:jc w:val="left"/>
            </w:pPr>
            <w:r>
              <w:t xml:space="preserve">5,586.00</w:t>
            </w:r>
          </w:p>
        </w:tc>
      </w:tr>
      <w:tr>
        <w:tc>
          <w:tcPr/>
          <w:p>
            <w:pPr>
              <w:pStyle w:val="Compact"/>
              <w:jc w:val="left"/>
            </w:pPr>
            <w:r>
              <w:t xml:space="preserve">02</w:t>
            </w:r>
          </w:p>
        </w:tc>
        <w:tc>
          <w:tcPr/>
          <w:p>
            <w:pPr>
              <w:pStyle w:val="Compact"/>
              <w:jc w:val="left"/>
            </w:pPr>
            <w:r>
              <w:t xml:space="preserve">Preparation and filing of annual financial statements (Jahresabschluss) including balance sheet, profit and loss account, and management report per § 264 HGB</w:t>
            </w:r>
          </w:p>
        </w:tc>
        <w:tc>
          <w:tcPr/>
          <w:p>
            <w:pPr>
              <w:pStyle w:val="Compact"/>
              <w:jc w:val="left"/>
            </w:pPr>
            <w:r>
              <w:t xml:space="preserve">1</w:t>
            </w:r>
          </w:p>
        </w:tc>
        <w:tc>
          <w:tcPr/>
          <w:p>
            <w:pPr>
              <w:pStyle w:val="Compact"/>
              <w:jc w:val="left"/>
            </w:pPr>
            <w:r>
              <w:t xml:space="preserve">Annually</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1,691.00</w:t>
            </w:r>
          </w:p>
        </w:tc>
      </w:tr>
      <w:tr>
        <w:tc>
          <w:tcPr/>
          <w:p>
            <w:pPr>
              <w:pStyle w:val="Compact"/>
              <w:jc w:val="left"/>
            </w:pPr>
            <w:r>
              <w:t xml:space="preserve">03</w:t>
            </w:r>
          </w:p>
        </w:tc>
        <w:tc>
          <w:tcPr/>
          <w:p>
            <w:pPr>
              <w:pStyle w:val="Compact"/>
              <w:jc w:val="left"/>
            </w:pPr>
            <w:r>
              <w:t xml:space="preserve">Corporate income tax (Körperschaftsteuer) and trade tax (Gewerbesteuer) return preparation and submission to the Finanzamt München</w:t>
            </w:r>
          </w:p>
        </w:tc>
        <w:tc>
          <w:tcPr/>
          <w:p>
            <w:pPr>
              <w:pStyle w:val="Compact"/>
              <w:jc w:val="left"/>
            </w:pPr>
            <w:r>
              <w:t xml:space="preserve">1</w:t>
            </w:r>
          </w:p>
        </w:tc>
        <w:tc>
          <w:tcPr/>
          <w:p>
            <w:pPr>
              <w:pStyle w:val="Compact"/>
              <w:jc w:val="left"/>
            </w:pPr>
            <w:r>
              <w:t xml:space="preserve">Annually</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798.00</w:t>
            </w:r>
          </w:p>
        </w:tc>
      </w:tr>
      <w:tr>
        <w:tc>
          <w:tcPr/>
          <w:p>
            <w:pPr>
              <w:pStyle w:val="Compact"/>
              <w:jc w:val="left"/>
            </w:pPr>
            <w:r>
              <w:t xml:space="preserve">04</w:t>
            </w:r>
          </w:p>
        </w:tc>
        <w:tc>
          <w:tcPr/>
          <w:p>
            <w:pPr>
              <w:pStyle w:val="Compact"/>
              <w:jc w:val="left"/>
            </w:pPr>
            <w:r>
              <w:t xml:space="preserve">VAT (Umsatzsteuer) pre-return (Umsatzsteuervoranmeldung) preparation and electronic filing via ELSTER portal, monthly cycle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w:t>
            </w:r>
          </w:p>
        </w:tc>
        <w:tc>
          <w:tcPr/>
          <w:p>
            <w:pPr>
              <w:pStyle w:val="Compact"/>
              <w:jc w:val="left"/>
            </w:pPr>
            <w:r>
              <w:t xml:space="preserve">4,560.00</w:t>
            </w:r>
          </w:p>
        </w:tc>
        <w:tc>
          <w:tcPr/>
          <w:p>
            <w:pPr>
              <w:pStyle w:val="Compact"/>
              <w:jc w:val="left"/>
            </w:pPr>
            <w:r>
              <w:t xml:space="preserve">866.40</w:t>
            </w:r>
          </w:p>
        </w:tc>
      </w:tr>
      <w:tr>
        <w:tc>
          <w:tcPr/>
          <w:p>
            <w:pPr>
              <w:pStyle w:val="Compact"/>
              <w:jc w:val="left"/>
            </w:pPr>
            <w:r>
              <w:t xml:space="preserve">05</w:t>
            </w:r>
          </w:p>
        </w:tc>
        <w:tc>
          <w:tcPr/>
          <w:p>
            <w:pPr>
              <w:pStyle w:val="Compact"/>
              <w:jc w:val="left"/>
            </w:pPr>
            <w:r>
              <w:t xml:space="preserve">Payroll accounting (Lohnbuchhaltung) for up to 45 employees, including social security contributions, wage tax (Lohnsteuer), and reporting to the relevant Munich authorities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3,100.00</w:t>
            </w:r>
          </w:p>
        </w:tc>
        <w:tc>
          <w:tcPr/>
          <w:p>
            <w:pPr>
              <w:pStyle w:val="Compact"/>
              <w:jc w:val="left"/>
            </w:pPr>
            <w:r>
              <w:t xml:space="preserve">37,200.00</w:t>
            </w:r>
          </w:p>
        </w:tc>
        <w:tc>
          <w:tcPr/>
          <w:p>
            <w:pPr>
              <w:pStyle w:val="Compact"/>
              <w:jc w:val="left"/>
            </w:pPr>
            <w:r>
              <w:t xml:space="preserve">7,068.00</w:t>
            </w:r>
          </w:p>
        </w:tc>
      </w:tr>
      <w:tr>
        <w:tc>
          <w:tcPr/>
          <w:p>
            <w:pPr>
              <w:pStyle w:val="Compact"/>
              <w:jc w:val="left"/>
            </w:pPr>
            <w:r>
              <w:t xml:space="preserve">06</w:t>
            </w:r>
          </w:p>
        </w:tc>
        <w:tc>
          <w:tcPr/>
          <w:p>
            <w:pPr>
              <w:pStyle w:val="Compact"/>
              <w:jc w:val="left"/>
            </w:pPr>
            <w:r>
              <w:t xml:space="preserve">Ad-hoc tax advisory, audit support, and compliance consulting for the Accountant engagement in Munich, Germany (up to 40 hours per annum)</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1,406.00</w:t>
            </w:r>
          </w:p>
        </w:tc>
      </w:tr>
      <w:tr>
        <w:tc>
          <w:tcPr>
            <w:gridSpan w:val="5"/>
          </w:tcPr>
          <w:p>
            <w:pPr>
              <w:pStyle w:val="Compact"/>
              <w:jc w:val="left"/>
            </w:pPr>
            <w:r>
              <w:t xml:space="preserve">Subtotal (net)</w:t>
            </w:r>
          </w:p>
        </w:tc>
        <w:tc>
          <w:tcPr/>
          <w:p>
            <w:pPr>
              <w:pStyle w:val="Compact"/>
              <w:jc w:val="left"/>
            </w:pPr>
            <w:r>
              <w:t xml:space="preserve">91,660.00</w:t>
            </w:r>
          </w:p>
        </w:tc>
        <w:tc>
          <w:tcPr/>
          <w:p>
            <w:pPr>
              <w:pStyle w:val="Compact"/>
              <w:jc w:val="left"/>
            </w:pPr>
            <w:r>
              <w:t xml:space="preserve">17,415.40</w:t>
            </w:r>
          </w:p>
        </w:tc>
      </w:tr>
      <w:tr>
        <w:tc>
          <w:tcPr>
            <w:gridSpan w:val="5"/>
          </w:tcPr>
          <w:p>
            <w:pPr>
              <w:pStyle w:val="Compact"/>
              <w:jc w:val="left"/>
            </w:pPr>
            <w:r>
              <w:t xml:space="preserve">Grand Total (incl. 19% VAT)</w:t>
            </w:r>
          </w:p>
        </w:tc>
        <w:tc>
          <w:tcPr>
            <w:gridSpan w:val="2"/>
          </w:tcPr>
          <w:p>
            <w:pPr>
              <w:pStyle w:val="Compact"/>
              <w:jc w:val="right"/>
            </w:pPr>
            <w:r>
              <w:t xml:space="preserve">109,075.40 EUR</w:t>
            </w:r>
          </w:p>
        </w:tc>
      </w:tr>
    </w:tbl>
    <w:bookmarkEnd w:id="25"/>
    <w:bookmarkStart w:id="26" w:name="X291950e7b01b2d88cbd83a1063ae1c87084e552"/>
    <w:p>
      <w:pPr>
        <w:pStyle w:val="Heading2"/>
      </w:pPr>
      <w:r>
        <w:t xml:space="preserve">Scope of Work — Accountant Responsibilities</w:t>
      </w:r>
    </w:p>
    <w:p>
      <w:pPr>
        <w:pStyle w:val="FirstParagraph"/>
      </w:pPr>
      <w:r>
        <w:t xml:space="preserve">This Purchase Order authorizes the procurement of comprehensive Accountant services from Alpin Finanz- und Steuerberatungsgesellschaft mbH, a licensed accounting and tax advisory firm registered with the Steuerberaterkammer München (Munich Chamber of Tax Advisors). The designated Accountant shall be a certified Steuerberater (Chartered Tax Advisor) or Wirtschaftsprüfer (Chartered Accountant) holding valid professional registration in the state of Bavaria, Germany. The Accountant shall perform all duties in strict accordance with the German Commercial Code (Handelsgesetzbuch – HGB), the German Tax Code (Abgabenordnung – AO), the GoBD (Grundsätze zur ordnungsmäßigen Führung und Aufbewahrung von Büchern, Aufzeichnungen und Unterlagen in elektronischer Form), and all applicable municipal regulations of the city of Munich.</w:t>
      </w:r>
    </w:p>
    <w:p>
      <w:pPr>
        <w:pStyle w:val="BodyText"/>
      </w:pPr>
      <w:r>
        <w:t xml:space="preserve">The Accountant shall maintain all financial records at the supplier's office located at Max-Joseph-Platz 7, 80539 Munich, Germany, or at the buyer's premises on Leopoldstraße 182, 80802 Munich, as mutually agreed. All electronic data shall be stored in compliance with the German Federal Data Protection Act (BDSG) and the EU General Data Protection Regulation (GDPR). The Accountant shall provide quarterly progress reports to the procurement department of Bavaria Industrial Holdings GmbH and shall attend the annual general meeting of the company in Munich upon request.</w:t>
      </w:r>
    </w:p>
    <w:bookmarkEnd w:id="26"/>
    <w:bookmarkStart w:id="27"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becomes binding upon written confirmation by the supplier within five (5) business days of the issue date. Failure to confirm within this period shall be deemed a rejection of this Purchase Order.</w:t>
      </w:r>
    </w:p>
    <w:p>
      <w:pPr>
        <w:numPr>
          <w:ilvl w:val="0"/>
          <w:numId w:val="1001"/>
        </w:numPr>
        <w:pStyle w:val="Compact"/>
      </w:pPr>
      <w:r>
        <w:rPr>
          <w:bCs/>
          <w:b/>
        </w:rPr>
        <w:t xml:space="preserve">Performance Location:</w:t>
      </w:r>
      <w:r>
        <w:t xml:space="preserve"> </w:t>
      </w:r>
      <w:r>
        <w:t xml:space="preserve">All Accountant services shall be rendered primarily in Munich, Germany. On-site visits to the buyer's Munich office shall be scheduled no fewer than two (2) times per month.</w:t>
      </w:r>
    </w:p>
    <w:p>
      <w:pPr>
        <w:numPr>
          <w:ilvl w:val="0"/>
          <w:numId w:val="1001"/>
        </w:numPr>
        <w:pStyle w:val="Compact"/>
      </w:pPr>
      <w:r>
        <w:rPr>
          <w:bCs/>
          <w:b/>
        </w:rPr>
        <w:t xml:space="preserve">Confidentiality:</w:t>
      </w:r>
      <w:r>
        <w:t xml:space="preserve"> </w:t>
      </w:r>
      <w:r>
        <w:t xml:space="preserve">The Accountant shall maintain strict professional secrecy (Berufsgeheimnis) in accordance with § 203 of the German Criminal Code (StGB) and the professional code of conduct of the Steuerberaterkammer München.</w:t>
      </w:r>
    </w:p>
    <w:p>
      <w:pPr>
        <w:numPr>
          <w:ilvl w:val="0"/>
          <w:numId w:val="1001"/>
        </w:numPr>
        <w:pStyle w:val="Compact"/>
      </w:pPr>
      <w:r>
        <w:rPr>
          <w:bCs/>
          <w:b/>
        </w:rPr>
        <w:t xml:space="preserve">Liability and Insurance:</w:t>
      </w:r>
      <w:r>
        <w:t xml:space="preserve"> </w:t>
      </w:r>
      <w:r>
        <w:t xml:space="preserve">The supplier shall maintain professional indemnity insurance (Berufshaftpflichtversicherung) with a minimum coverage of €5,000,000 per claim, valid throughout the contract term in Munich, Germany.</w:t>
      </w:r>
    </w:p>
    <w:p>
      <w:pPr>
        <w:numPr>
          <w:ilvl w:val="0"/>
          <w:numId w:val="1001"/>
        </w:numPr>
        <w:pStyle w:val="Compact"/>
      </w:pPr>
      <w:r>
        <w:rPr>
          <w:bCs/>
          <w:b/>
        </w:rPr>
        <w:t xml:space="preserve">Termination:</w:t>
      </w:r>
      <w:r>
        <w:t xml:space="preserve"> </w:t>
      </w:r>
      <w:r>
        <w:t xml:space="preserve">Either party may terminate this Purchase Order with a written notice period of three (3) months, to be delivered to the respective Munich addresses stated above. In cases of material breach, immediate termination is permitted under § 314 BGB.</w:t>
      </w:r>
    </w:p>
    <w:p>
      <w:pPr>
        <w:numPr>
          <w:ilvl w:val="0"/>
          <w:numId w:val="1001"/>
        </w:numPr>
        <w:pStyle w:val="Compact"/>
      </w:pPr>
      <w:r>
        <w:rPr>
          <w:bCs/>
          <w:b/>
        </w:rPr>
        <w:t xml:space="preserve">Dispute Resolution:</w:t>
      </w:r>
      <w:r>
        <w:t xml:space="preserve"> </w:t>
      </w:r>
      <w:r>
        <w:t xml:space="preserve">Any disputes arising from this Purchase Order shall be subject to the exclusive jurisdiction of the competent courts in Munich, Germany. The parties agree to attempt mediation before the Industrie- und Handelskammer (IHK) München before initiating litigation.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pandemics affecting operations in Munich, Bavaria, or Germany.</w:t>
      </w:r>
    </w:p>
    <w:p>
      <w:pPr>
        <w:numPr>
          <w:ilvl w:val="0"/>
          <w:numId w:val="1001"/>
        </w:numPr>
        <w:pStyle w:val="Compact"/>
      </w:pPr>
      <w:r>
        <w:rPr>
          <w:bCs/>
          <w:b/>
        </w:rPr>
        <w:t xml:space="preserve">Compliance:</w:t>
      </w:r>
      <w:r>
        <w:t xml:space="preserve"> </w:t>
      </w:r>
      <w:r>
        <w:t xml:space="preserve">The Accountant shall ensure full compliance with anti-money laundering regulations (Geldwäschegesetz – GwG) and shall report any suspicious transactions to the relevant German authorities as required by law.</w:t>
      </w:r>
    </w:p>
    <w:p>
      <w:pPr>
        <w:pStyle w:val="FirstParagraph"/>
      </w:pPr>
      <w:r>
        <w:t xml:space="preserve">For and on behalf of the Buyer:</w:t>
      </w:r>
    </w:p>
    <w:p>
      <w:pPr>
        <w:pStyle w:val="BodyText"/>
      </w:pPr>
      <w:r>
        <w:t xml:space="preserve">Bavaria Industrial Holdings GmbH</w:t>
      </w:r>
    </w:p>
    <w:p>
      <w:pPr>
        <w:pStyle w:val="BodyText"/>
      </w:pPr>
      <w:r>
        <w:t xml:space="preserve">Dr. Katharina Weber</w:t>
      </w:r>
    </w:p>
    <w:p>
      <w:pPr>
        <w:pStyle w:val="BodyText"/>
      </w:pPr>
      <w:r>
        <w:t xml:space="preserve">Chief Financial Officer</w:t>
      </w:r>
    </w:p>
    <w:p>
      <w:pPr>
        <w:pStyle w:val="BodyText"/>
      </w:pPr>
      <w:r>
        <w:t xml:space="preserve">Date: _______________</w:t>
      </w:r>
    </w:p>
    <w:p>
      <w:pPr>
        <w:pStyle w:val="BodyText"/>
      </w:pPr>
      <w:r>
        <w:t xml:space="preserve">For and on behalf of the Supplier:</w:t>
      </w:r>
    </w:p>
    <w:p>
      <w:pPr>
        <w:pStyle w:val="BodyText"/>
      </w:pPr>
      <w:r>
        <w:t xml:space="preserve">Alpin Finanz- und Steuerberatungsgesellschaft mbH</w:t>
      </w:r>
    </w:p>
    <w:p>
      <w:pPr>
        <w:pStyle w:val="BodyText"/>
      </w:pPr>
      <w:r>
        <w:t xml:space="preserve">StB. Markus Hoffmann</w:t>
      </w:r>
    </w:p>
    <w:p>
      <w:pPr>
        <w:pStyle w:val="BodyText"/>
      </w:pPr>
      <w:r>
        <w:t xml:space="preserve">Managing Partner / Lead Accountant</w:t>
      </w:r>
    </w:p>
    <w:p>
      <w:pPr>
        <w:pStyle w:val="BodyText"/>
      </w:pPr>
      <w:r>
        <w:t xml:space="preserve">Date: _______________</w:t>
      </w:r>
    </w:p>
    <w:p>
      <w:pPr>
        <w:pStyle w:val="BodyText"/>
      </w:pPr>
      <w:r>
        <w:t xml:space="preserve">Purchase Order No. DE-MUC-2025-04782 | Issued in Munich, Germany | Page 1 of 1</w:t>
      </w:r>
    </w:p>
    <w:p>
      <w:pPr>
        <w:pStyle w:val="BodyText"/>
      </w:pPr>
      <w:r>
        <w:t xml:space="preserve">This document is governed by the laws of the Federal Republic of Germany. All references to "Munich" denote the city of Munich (München), capital of the Free State of Bavaria, Germany.</w:t>
      </w:r>
    </w:p>
    <w:p>
      <w:pPr>
        <w:pStyle w:val="BodyText"/>
      </w:pPr>
      <w:r>
        <w:t xml:space="preserve">© 2025 Bavaria Industrial Holdings GmbH.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Munich, Germany</dc:title>
  <dc:creator/>
  <dc:language>en</dc:language>
  <cp:keywords/>
  <dcterms:created xsi:type="dcterms:W3CDTF">2026-10-10T09:03:28Z</dcterms:created>
  <dcterms:modified xsi:type="dcterms:W3CDTF">2026-10-10T09:03:28Z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