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Professional Accountant Services Procurement Document</w:t>
      </w:r>
    </w:p>
    <w:p>
      <w:pPr>
        <w:pStyle w:val="BodyText"/>
      </w:pPr>
      <w:r>
        <w:t xml:space="preserve">PO No: PO-JKT-2025-00472</w:t>
      </w:r>
    </w:p>
    <w:p>
      <w:pPr>
        <w:pStyle w:val="BodyText"/>
      </w:pPr>
      <w:r>
        <w:t xml:space="preserve">Issued in Indonesia Jakarta | Effective Date: 15 June 2025</w:t>
      </w:r>
    </w:p>
    <w:bookmarkEnd w:id="20"/>
    <w:bookmarkStart w:id="21" w:name="purchasing-party-buyer"/>
    <w:p>
      <w:pPr>
        <w:pStyle w:val="Heading3"/>
      </w:pPr>
      <w:r>
        <w:t xml:space="preserve">Purchasing Party (Buyer)</w:t>
      </w:r>
    </w:p>
    <w:p>
      <w:pPr>
        <w:pStyle w:val="FirstParagraph"/>
      </w:pPr>
      <w:r>
        <w:t xml:space="preserve">Company:</w:t>
      </w:r>
      <w:r>
        <w:t xml:space="preserve"> </w:t>
      </w:r>
      <w:r>
        <w:t xml:space="preserve">Nusantara Enterprise Solutions PT</w:t>
      </w:r>
    </w:p>
    <w:p>
      <w:pPr>
        <w:pStyle w:val="BodyText"/>
      </w:pPr>
      <w:r>
        <w:t xml:space="preserve">Address:</w:t>
      </w:r>
      <w:r>
        <w:t xml:space="preserve"> </w:t>
      </w:r>
      <w:r>
        <w:t xml:space="preserve">Menara Jakarta One, 12th Floor, SCBD District, South Jakarta 12190, Indonesia Jakarta</w:t>
      </w:r>
    </w:p>
    <w:p>
      <w:pPr>
        <w:pStyle w:val="BodyText"/>
      </w:pPr>
      <w:r>
        <w:t xml:space="preserve">Tax ID (NPWP):</w:t>
      </w:r>
      <w:r>
        <w:t xml:space="preserve"> </w:t>
      </w:r>
      <w:r>
        <w:t xml:space="preserve">02.456.789.0-351.000</w:t>
      </w:r>
    </w:p>
    <w:p>
      <w:pPr>
        <w:pStyle w:val="BodyText"/>
      </w:pPr>
      <w:r>
        <w:t xml:space="preserve">Contact:</w:t>
      </w:r>
      <w:r>
        <w:t xml:space="preserve"> </w:t>
      </w:r>
      <w:r>
        <w:t xml:space="preserve">procurement@nusantara-ent.co.id</w:t>
      </w:r>
    </w:p>
    <w:p>
      <w:pPr>
        <w:pStyle w:val="BodyText"/>
      </w:pPr>
      <w:r>
        <w:t xml:space="preserve">Phone:</w:t>
      </w:r>
      <w:r>
        <w:t xml:space="preserve"> </w:t>
      </w:r>
      <w:r>
        <w:t xml:space="preserve">+62-21-5150-8890</w:t>
      </w:r>
    </w:p>
    <w:bookmarkEnd w:id="21"/>
    <w:bookmarkStart w:id="22" w:name="supplier-service-provider"/>
    <w:p>
      <w:pPr>
        <w:pStyle w:val="Heading3"/>
      </w:pPr>
      <w:r>
        <w:t xml:space="preserve">Supplier / Service Provider</w:t>
      </w:r>
    </w:p>
    <w:p>
      <w:pPr>
        <w:pStyle w:val="FirstParagraph"/>
      </w:pPr>
      <w:r>
        <w:t xml:space="preserve">Company:</w:t>
      </w:r>
      <w:r>
        <w:t xml:space="preserve"> </w:t>
      </w:r>
      <w:r>
        <w:t xml:space="preserve">Jakarta Professional Accounting Services CV</w:t>
      </w:r>
    </w:p>
    <w:p>
      <w:pPr>
        <w:pStyle w:val="BodyText"/>
      </w:pPr>
      <w:r>
        <w:t xml:space="preserve">Address:</w:t>
      </w:r>
      <w:r>
        <w:t xml:space="preserve"> </w:t>
      </w:r>
      <w:r>
        <w:t xml:space="preserve">Gedung Graha Niaga, 5th Floor, Jalan Jend. Sudirman Kav. 25, Central Jakarta 10220, Indonesia Jakarta</w:t>
      </w:r>
    </w:p>
    <w:p>
      <w:pPr>
        <w:pStyle w:val="BodyText"/>
      </w:pPr>
      <w:r>
        <w:t xml:space="preserve">Tax ID (NPWP):</w:t>
      </w:r>
      <w:r>
        <w:t xml:space="preserve"> </w:t>
      </w:r>
      <w:r>
        <w:t xml:space="preserve">09.876.543.1-012.000</w:t>
      </w:r>
    </w:p>
    <w:p>
      <w:pPr>
        <w:pStyle w:val="BodyText"/>
      </w:pPr>
      <w:r>
        <w:t xml:space="preserve">Contact:</w:t>
      </w:r>
      <w:r>
        <w:t xml:space="preserve"> </w:t>
      </w:r>
      <w:r>
        <w:t xml:space="preserve">admin@jakarta-acc-svc.co.id</w:t>
      </w:r>
    </w:p>
    <w:p>
      <w:pPr>
        <w:pStyle w:val="BodyText"/>
      </w:pPr>
      <w:r>
        <w:t xml:space="preserve">Phone:</w:t>
      </w:r>
      <w:r>
        <w:t xml:space="preserve"> </w:t>
      </w:r>
      <w:r>
        <w:t xml:space="preserve">+62-21-2554-7712</w:t>
      </w:r>
    </w:p>
    <w:bookmarkEnd w:id="22"/>
    <w:bookmarkStart w:id="23" w:name="order-details"/>
    <w:p>
      <w:pPr>
        <w:pStyle w:val="Heading3"/>
      </w:pPr>
      <w:r>
        <w:t xml:space="preserve">Order Details</w:t>
      </w:r>
    </w:p>
    <w:p>
      <w:pPr>
        <w:pStyle w:val="FirstParagraph"/>
      </w:pPr>
      <w:r>
        <w:t xml:space="preserve">Purchase Order Date:</w:t>
      </w:r>
      <w:r>
        <w:t xml:space="preserve"> </w:t>
      </w:r>
      <w:r>
        <w:t xml:space="preserve">15 June 2025</w:t>
      </w:r>
    </w:p>
    <w:p>
      <w:pPr>
        <w:pStyle w:val="BodyText"/>
      </w:pPr>
      <w:r>
        <w:t xml:space="preserve">Required Delivery Date:</w:t>
      </w:r>
      <w:r>
        <w:t xml:space="preserve"> </w:t>
      </w:r>
      <w:r>
        <w:t xml:space="preserve">1 July 2025</w:t>
      </w:r>
    </w:p>
    <w:p>
      <w:pPr>
        <w:pStyle w:val="BodyText"/>
      </w:pPr>
      <w:r>
        <w:t xml:space="preserve">Payment Terms:</w:t>
      </w:r>
      <w:r>
        <w:t xml:space="preserve"> </w:t>
      </w:r>
      <w:r>
        <w:t xml:space="preserve">Net 30 Days</w:t>
      </w:r>
    </w:p>
    <w:p>
      <w:pPr>
        <w:pStyle w:val="BodyText"/>
      </w:pPr>
      <w:r>
        <w:t xml:space="preserve">Currency:</w:t>
      </w:r>
      <w:r>
        <w:t xml:space="preserve"> </w:t>
      </w:r>
      <w:r>
        <w:t xml:space="preserve">Indonesian Rupiah (IDR)</w:t>
      </w:r>
    </w:p>
    <w:p>
      <w:pPr>
        <w:pStyle w:val="BodyText"/>
      </w:pPr>
      <w:r>
        <w:t xml:space="preserve">Service Location:</w:t>
      </w:r>
      <w:r>
        <w:t xml:space="preserve"> </w:t>
      </w:r>
      <w:r>
        <w:t xml:space="preserve">Indonesia Jakarta</w:t>
      </w:r>
    </w:p>
    <w:bookmarkEnd w:id="23"/>
    <w:bookmarkStart w:id="24" w:name="authorized-by"/>
    <w:p>
      <w:pPr>
        <w:pStyle w:val="Heading3"/>
      </w:pPr>
      <w:r>
        <w:t xml:space="preserve">Authorized By</w:t>
      </w:r>
    </w:p>
    <w:p>
      <w:pPr>
        <w:pStyle w:val="FirstParagraph"/>
      </w:pPr>
      <w:r>
        <w:t xml:space="preserve">Name:</w:t>
      </w:r>
      <w:r>
        <w:t xml:space="preserve"> </w:t>
      </w:r>
      <w:r>
        <w:t xml:space="preserve">Budi Santoso, Finance Director</w:t>
      </w:r>
    </w:p>
    <w:p>
      <w:pPr>
        <w:pStyle w:val="BodyText"/>
      </w:pPr>
      <w:r>
        <w:t xml:space="preserve">Department:</w:t>
      </w:r>
      <w:r>
        <w:t xml:space="preserve"> </w:t>
      </w:r>
      <w:r>
        <w:t xml:space="preserve">Corporate Finance &amp; Procurement</w:t>
      </w:r>
    </w:p>
    <w:p>
      <w:pPr>
        <w:pStyle w:val="BodyText"/>
      </w:pPr>
      <w:r>
        <w:t xml:space="preserve">Approval Reference:</w:t>
      </w:r>
      <w:r>
        <w:t xml:space="preserve"> </w:t>
      </w:r>
      <w:r>
        <w:t xml:space="preserve">FIN-APR-2025-0031</w:t>
      </w:r>
    </w:p>
    <w:p>
      <w:pPr>
        <w:pStyle w:val="BodyText"/>
      </w:pPr>
      <w:r>
        <w:t xml:space="preserve">Budget Code:</w:t>
      </w:r>
      <w:r>
        <w:t xml:space="preserve"> </w:t>
      </w:r>
      <w:r>
        <w:t xml:space="preserve">BUD-OPS-ACC-2025</w:t>
      </w:r>
    </w:p>
    <w:bookmarkEnd w:id="24"/>
    <w:bookmarkStart w:id="26" w:name="X8d52ccb9a1527ed34c9099213817569abbddfdf"/>
    <w:p>
      <w:pPr>
        <w:pStyle w:val="Heading2"/>
      </w:pPr>
      <w:r>
        <w:t xml:space="preserve">Itemized Purchase Order for Accountant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Accountant Service</w:t>
            </w:r>
          </w:p>
        </w:tc>
        <w:tc>
          <w:tcPr/>
          <w:p>
            <w:pPr>
              <w:pStyle w:val="Compact"/>
              <w:jc w:val="left"/>
            </w:pPr>
            <w:r>
              <w:t xml:space="preserve">Duration</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Total Amount (IDR)</w:t>
            </w:r>
          </w:p>
        </w:tc>
      </w:tr>
      <w:tr>
        <w:tc>
          <w:tcPr/>
          <w:p>
            <w:pPr>
              <w:pStyle w:val="Compact"/>
              <w:jc w:val="left"/>
            </w:pPr>
            <w:r>
              <w:t xml:space="preserve">1</w:t>
            </w:r>
          </w:p>
        </w:tc>
        <w:tc>
          <w:tcPr/>
          <w:p>
            <w:pPr>
              <w:pStyle w:val="Compact"/>
              <w:jc w:val="left"/>
            </w:pPr>
            <w:r>
              <w:t xml:space="preserve">Senior Accountant – Monthly Financial Reporting &amp; Reconciliation (Indonesia Jakarta office)</w:t>
            </w:r>
          </w:p>
        </w:tc>
        <w:tc>
          <w:tcPr/>
          <w:p>
            <w:pPr>
              <w:pStyle w:val="Compact"/>
              <w:jc w:val="left"/>
            </w:pPr>
            <w:r>
              <w:t xml:space="preserve">12 months</w:t>
            </w:r>
          </w:p>
        </w:tc>
        <w:tc>
          <w:tcPr/>
          <w:p>
            <w:pPr>
              <w:pStyle w:val="Compact"/>
              <w:jc w:val="left"/>
            </w:pPr>
            <w:r>
              <w:t xml:space="preserve">12</w:t>
            </w:r>
          </w:p>
        </w:tc>
        <w:tc>
          <w:tcPr/>
          <w:p>
            <w:pPr>
              <w:pStyle w:val="Compact"/>
              <w:jc w:val="left"/>
            </w:pPr>
            <w:r>
              <w:t xml:space="preserve">25,000,000</w:t>
            </w:r>
          </w:p>
        </w:tc>
        <w:tc>
          <w:tcPr/>
          <w:p>
            <w:pPr>
              <w:pStyle w:val="Compact"/>
              <w:jc w:val="left"/>
            </w:pPr>
            <w:r>
              <w:t xml:space="preserve">300,000,000</w:t>
            </w:r>
          </w:p>
        </w:tc>
      </w:tr>
      <w:tr>
        <w:tc>
          <w:tcPr/>
          <w:p>
            <w:pPr>
              <w:pStyle w:val="Compact"/>
              <w:jc w:val="left"/>
            </w:pPr>
            <w:r>
              <w:t xml:space="preserve">2</w:t>
            </w:r>
          </w:p>
        </w:tc>
        <w:tc>
          <w:tcPr/>
          <w:p>
            <w:pPr>
              <w:pStyle w:val="Compact"/>
              <w:jc w:val="left"/>
            </w:pPr>
            <w:r>
              <w:t xml:space="preserve">Accountant – Tax Filing &amp; Compliance (PPh 21, PPh 23, PPN) per Indonesian regulations</w:t>
            </w:r>
          </w:p>
        </w:tc>
        <w:tc>
          <w:tcPr/>
          <w:p>
            <w:pPr>
              <w:pStyle w:val="Compact"/>
              <w:jc w:val="left"/>
            </w:pPr>
            <w:r>
              <w:t xml:space="preserve">12 months</w:t>
            </w:r>
          </w:p>
        </w:tc>
        <w:tc>
          <w:tcPr/>
          <w:p>
            <w:pPr>
              <w:pStyle w:val="Compact"/>
              <w:jc w:val="left"/>
            </w:pPr>
            <w:r>
              <w:t xml:space="preserve">12</w:t>
            </w:r>
          </w:p>
        </w:tc>
        <w:tc>
          <w:tcPr/>
          <w:p>
            <w:pPr>
              <w:pStyle w:val="Compact"/>
              <w:jc w:val="left"/>
            </w:pPr>
            <w:r>
              <w:t xml:space="preserve">18,000,000</w:t>
            </w:r>
          </w:p>
        </w:tc>
        <w:tc>
          <w:tcPr/>
          <w:p>
            <w:pPr>
              <w:pStyle w:val="Compact"/>
              <w:jc w:val="left"/>
            </w:pPr>
            <w:r>
              <w:t xml:space="preserve">216,000,000</w:t>
            </w:r>
          </w:p>
        </w:tc>
      </w:tr>
      <w:tr>
        <w:tc>
          <w:tcPr/>
          <w:p>
            <w:pPr>
              <w:pStyle w:val="Compact"/>
              <w:jc w:val="left"/>
            </w:pPr>
            <w:r>
              <w:t xml:space="preserve">3</w:t>
            </w:r>
          </w:p>
        </w:tc>
        <w:tc>
          <w:tcPr/>
          <w:p>
            <w:pPr>
              <w:pStyle w:val="Compact"/>
              <w:jc w:val="left"/>
            </w:pPr>
            <w:r>
              <w:t xml:space="preserve">Accountant – Annual Financial Audit Support &amp; IFRS/SAK Compliance (Indonesia Jakarta)</w:t>
            </w:r>
          </w:p>
        </w:tc>
        <w:tc>
          <w:tcPr/>
          <w:p>
            <w:pPr>
              <w:pStyle w:val="Compact"/>
              <w:jc w:val="left"/>
            </w:pPr>
            <w:r>
              <w:t xml:space="preserve">1 engagement</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4</w:t>
            </w:r>
          </w:p>
        </w:tc>
        <w:tc>
          <w:tcPr/>
          <w:p>
            <w:pPr>
              <w:pStyle w:val="Compact"/>
              <w:jc w:val="left"/>
            </w:pPr>
            <w:r>
              <w:t xml:space="preserve">Junior Accountant – Accounts Payable &amp; Receivable Management</w:t>
            </w:r>
          </w:p>
        </w:tc>
        <w:tc>
          <w:tcPr/>
          <w:p>
            <w:pPr>
              <w:pStyle w:val="Compact"/>
              <w:jc w:val="left"/>
            </w:pPr>
            <w:r>
              <w:t xml:space="preserve">12 months</w:t>
            </w:r>
          </w:p>
        </w:tc>
        <w:tc>
          <w:tcPr/>
          <w:p>
            <w:pPr>
              <w:pStyle w:val="Compact"/>
              <w:jc w:val="left"/>
            </w:pPr>
            <w:r>
              <w:t xml:space="preserve">12</w:t>
            </w:r>
          </w:p>
        </w:tc>
        <w:tc>
          <w:tcPr/>
          <w:p>
            <w:pPr>
              <w:pStyle w:val="Compact"/>
              <w:jc w:val="left"/>
            </w:pPr>
            <w:r>
              <w:t xml:space="preserve">12,000,000</w:t>
            </w:r>
          </w:p>
        </w:tc>
        <w:tc>
          <w:tcPr/>
          <w:p>
            <w:pPr>
              <w:pStyle w:val="Compact"/>
              <w:jc w:val="left"/>
            </w:pPr>
            <w:r>
              <w:t xml:space="preserve">144,000,000</w:t>
            </w:r>
          </w:p>
        </w:tc>
      </w:tr>
      <w:tr>
        <w:tc>
          <w:tcPr/>
          <w:p>
            <w:pPr>
              <w:pStyle w:val="Compact"/>
              <w:jc w:val="left"/>
            </w:pPr>
            <w:r>
              <w:t xml:space="preserve">5</w:t>
            </w:r>
          </w:p>
        </w:tc>
        <w:tc>
          <w:tcPr/>
          <w:p>
            <w:pPr>
              <w:pStyle w:val="Compact"/>
              <w:jc w:val="left"/>
            </w:pPr>
            <w:r>
              <w:t xml:space="preserve">Accountant – Payroll Processing &amp; BPJS Compliance (Indonesia Jakarta workforce)</w:t>
            </w:r>
          </w:p>
        </w:tc>
        <w:tc>
          <w:tcPr/>
          <w:p>
            <w:pPr>
              <w:pStyle w:val="Compact"/>
              <w:jc w:val="left"/>
            </w:pPr>
            <w:r>
              <w:t xml:space="preserve">12 months</w:t>
            </w:r>
          </w:p>
        </w:tc>
        <w:tc>
          <w:tcPr/>
          <w:p>
            <w:pPr>
              <w:pStyle w:val="Compact"/>
              <w:jc w:val="left"/>
            </w:pPr>
            <w:r>
              <w:t xml:space="preserve">12</w:t>
            </w:r>
          </w:p>
        </w:tc>
        <w:tc>
          <w:tcPr/>
          <w:p>
            <w:pPr>
              <w:pStyle w:val="Compact"/>
              <w:jc w:val="left"/>
            </w:pPr>
            <w:r>
              <w:t xml:space="preserve">15,000,000</w:t>
            </w:r>
          </w:p>
        </w:tc>
        <w:tc>
          <w:tcPr/>
          <w:p>
            <w:pPr>
              <w:pStyle w:val="Compact"/>
              <w:jc w:val="left"/>
            </w:pPr>
            <w:r>
              <w:t xml:space="preserve">180,000,000</w:t>
            </w:r>
          </w:p>
        </w:tc>
      </w:tr>
      <w:tr>
        <w:tc>
          <w:tcPr/>
          <w:p>
            <w:pPr>
              <w:pStyle w:val="Compact"/>
              <w:jc w:val="left"/>
            </w:pPr>
            <w:r>
              <w:t xml:space="preserve">6</w:t>
            </w:r>
          </w:p>
        </w:tc>
        <w:tc>
          <w:tcPr/>
          <w:p>
            <w:pPr>
              <w:pStyle w:val="Compact"/>
              <w:jc w:val="left"/>
            </w:pPr>
            <w:r>
              <w:t xml:space="preserve">Accountant – Budget Forecasting &amp; Management Reporting (Quarterly)</w:t>
            </w:r>
          </w:p>
        </w:tc>
        <w:tc>
          <w:tcPr/>
          <w:p>
            <w:pPr>
              <w:pStyle w:val="Compact"/>
              <w:jc w:val="left"/>
            </w:pPr>
            <w:r>
              <w:t xml:space="preserve">4 quarters</w:t>
            </w:r>
          </w:p>
        </w:tc>
        <w:tc>
          <w:tcPr/>
          <w:p>
            <w:pPr>
              <w:pStyle w:val="Compact"/>
              <w:jc w:val="left"/>
            </w:pPr>
            <w:r>
              <w:t xml:space="preserve">4</w:t>
            </w:r>
          </w:p>
        </w:tc>
        <w:tc>
          <w:tcPr/>
          <w:p>
            <w:pPr>
              <w:pStyle w:val="Compact"/>
              <w:jc w:val="left"/>
            </w:pPr>
            <w:r>
              <w:t xml:space="preserve">20,000,000</w:t>
            </w:r>
          </w:p>
        </w:tc>
        <w:tc>
          <w:tcPr/>
          <w:p>
            <w:pPr>
              <w:pStyle w:val="Compact"/>
              <w:jc w:val="left"/>
            </w:pPr>
            <w:r>
              <w:t xml:space="preserve">80,000,000</w:t>
            </w:r>
          </w:p>
        </w:tc>
      </w:tr>
      <w:tr>
        <w:tc>
          <w:tcPr>
            <w:gridSpan w:val="5"/>
          </w:tcPr>
          <w:p>
            <w:pPr>
              <w:pStyle w:val="Compact"/>
              <w:jc w:val="right"/>
            </w:pPr>
            <w:r>
              <w:t xml:space="preserve">Subtotal</w:t>
            </w:r>
          </w:p>
        </w:tc>
        <w:tc>
          <w:tcPr/>
          <w:p>
            <w:pPr>
              <w:pStyle w:val="Compact"/>
              <w:jc w:val="left"/>
            </w:pPr>
            <w:r>
              <w:t xml:space="preserve">1,005,000,000</w:t>
            </w:r>
          </w:p>
        </w:tc>
      </w:tr>
      <w:tr>
        <w:tc>
          <w:tcPr>
            <w:gridSpan w:val="5"/>
          </w:tcPr>
          <w:p>
            <w:pPr>
              <w:pStyle w:val="Compact"/>
              <w:jc w:val="right"/>
            </w:pPr>
            <w:r>
              <w:t xml:space="preserve">VAT (PPN) 11%</w:t>
            </w:r>
          </w:p>
        </w:tc>
        <w:tc>
          <w:tcPr/>
          <w:p>
            <w:pPr>
              <w:pStyle w:val="Compact"/>
              <w:jc w:val="left"/>
            </w:pPr>
            <w:r>
              <w:t xml:space="preserve">110,550,000</w:t>
            </w:r>
          </w:p>
        </w:tc>
      </w:tr>
      <w:tr>
        <w:tc>
          <w:tcPr>
            <w:gridSpan w:val="5"/>
          </w:tcPr>
          <w:p>
            <w:pPr>
              <w:pStyle w:val="Compact"/>
              <w:jc w:val="right"/>
            </w:pPr>
            <w:r>
              <w:t xml:space="preserve">Withholding Tax (PPh 23) 2%</w:t>
            </w:r>
          </w:p>
        </w:tc>
        <w:tc>
          <w:tcPr/>
          <w:p>
            <w:pPr>
              <w:pStyle w:val="Compact"/>
              <w:jc w:val="left"/>
            </w:pPr>
            <w:r>
              <w:t xml:space="preserve">(20,100,000)</w:t>
            </w:r>
          </w:p>
        </w:tc>
      </w:tr>
      <w:tr>
        <w:tc>
          <w:tcPr>
            <w:gridSpan w:val="5"/>
          </w:tcPr>
          <w:p>
            <w:pPr>
              <w:pStyle w:val="Compact"/>
              <w:jc w:val="right"/>
            </w:pPr>
            <w:r>
              <w:rPr>
                <w:bCs/>
                <w:b/>
              </w:rPr>
              <w:t xml:space="preserve">GRAND TOTAL (IDR)</w:t>
            </w:r>
          </w:p>
        </w:tc>
        <w:tc>
          <w:tcPr/>
          <w:p>
            <w:pPr>
              <w:pStyle w:val="Compact"/>
              <w:jc w:val="left"/>
            </w:pPr>
            <w:r>
              <w:rPr>
                <w:bCs/>
                <w:b/>
              </w:rPr>
              <w:t xml:space="preserve">1,095,450,000</w:t>
            </w:r>
          </w:p>
        </w:tc>
      </w:tr>
    </w:tbl>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Nusantara Enterprise Solutions PT, a company duly registered in Indonesia Jakarta, for the procurement of professional Accountant services to be rendered at the Indonesia Jakarta office premises.</w:t>
      </w:r>
    </w:p>
    <w:p>
      <w:pPr>
        <w:numPr>
          <w:ilvl w:val="0"/>
          <w:numId w:val="1001"/>
        </w:numPr>
        <w:pStyle w:val="Compact"/>
      </w:pPr>
      <w:r>
        <w:t xml:space="preserve">The Accountant service provider shall assign qualified and certified Accountant professionals (holding CPA Indonesia or Brevet A/B certification) to perform all duties outlined in this Purchase Order within the Indonesia Jakarta metropolitan area.</w:t>
      </w:r>
    </w:p>
    <w:p>
      <w:pPr>
        <w:numPr>
          <w:ilvl w:val="0"/>
          <w:numId w:val="1001"/>
        </w:numPr>
        <w:pStyle w:val="Compact"/>
      </w:pPr>
      <w:r>
        <w:t xml:space="preserve">All Accountant services shall comply with the Indonesian Financial Accounting Standards (SAK), the Indonesian Tax Code (UU PPh), and all applicable regulations issued by the Directorate General of Taxes (DGT) of Indonesia Jakarta.</w:t>
      </w:r>
    </w:p>
    <w:p>
      <w:pPr>
        <w:numPr>
          <w:ilvl w:val="0"/>
          <w:numId w:val="1001"/>
        </w:numPr>
        <w:pStyle w:val="Compact"/>
      </w:pPr>
      <w:r>
        <w:t xml:space="preserve">Payment shall be processed via bank transfer to the supplier's designated account in Indonesia Jakarta within thirty (30) calendar days from the date of invoice receipt, subject to verification of completed Accountant deliverables.</w:t>
      </w:r>
    </w:p>
    <w:p>
      <w:pPr>
        <w:numPr>
          <w:ilvl w:val="0"/>
          <w:numId w:val="1001"/>
        </w:numPr>
        <w:pStyle w:val="Compact"/>
      </w:pPr>
      <w:r>
        <w:t xml:space="preserve">The Accountant service provider is required to submit monthly progress reports detailing all accounting tasks completed, tax filings processed, and financial statements prepared for the Indonesia Jakarta operations.</w:t>
      </w:r>
    </w:p>
    <w:p>
      <w:pPr>
        <w:numPr>
          <w:ilvl w:val="0"/>
          <w:numId w:val="1001"/>
        </w:numPr>
        <w:pStyle w:val="Compact"/>
      </w:pPr>
      <w:r>
        <w:t xml:space="preserve">Confidentiality: All financial data, payroll records, and proprietary information of Nusantara Enterprise Solutions PT shall be treated as strictly confidential by the Accountant and all associated personnel. Breach of confidentiality shall result in immediate termination of this Purchase Order and legal action under Indonesian law.</w:t>
      </w:r>
    </w:p>
    <w:p>
      <w:pPr>
        <w:numPr>
          <w:ilvl w:val="0"/>
          <w:numId w:val="1001"/>
        </w:numPr>
        <w:pStyle w:val="Compact"/>
      </w:pPr>
      <w:r>
        <w:t xml:space="preserve">This Purchase Order may be amended only through a written addendum signed by both parties. Any changes to the scope of Accountant services, pricing, or delivery timelines must be documented and approved by the Finance Director of the purchasing party in Indonesia Jakarta.</w:t>
      </w:r>
    </w:p>
    <w:p>
      <w:pPr>
        <w:numPr>
          <w:ilvl w:val="0"/>
          <w:numId w:val="1001"/>
        </w:numPr>
        <w:pStyle w:val="Compact"/>
      </w:pPr>
      <w:r>
        <w:t xml:space="preserve">In the event of non-performance or failure to deliver Accountant services as specified, the purchasing party reserves the right to withhold payment, terminate this Purchase Order with fourteen (14) days written notice, and seek damages in accordance with the Indonesian Civil Code (KUHPerdata).</w:t>
      </w:r>
    </w:p>
    <w:p>
      <w:pPr>
        <w:numPr>
          <w:ilvl w:val="0"/>
          <w:numId w:val="1001"/>
        </w:numPr>
        <w:pStyle w:val="Compact"/>
      </w:pPr>
      <w:r>
        <w:t xml:space="preserve">All disputes arising from this Purchase Order shall be resolved through mediation in Indonesia Jakarta, and if unresolved, through the Commercial Court of the Jakarta Central District Court.</w:t>
      </w:r>
    </w:p>
    <w:p>
      <w:pPr>
        <w:numPr>
          <w:ilvl w:val="0"/>
          <w:numId w:val="1001"/>
        </w:numPr>
        <w:pStyle w:val="Compact"/>
      </w:pPr>
      <w:r>
        <w:t xml:space="preserve">This Purchase Order is governed by and shall be interpreted in accordance with the laws of the Republic of Indonesia, with Indonesia Jakarta as the exclusive jurisdiction for all legal proceedings.</w:t>
      </w:r>
    </w:p>
    <w:bookmarkEnd w:id="25"/>
    <w:p>
      <w:pPr>
        <w:pStyle w:val="FirstParagraph"/>
      </w:pPr>
      <w:r>
        <w:rPr>
          <w:bCs/>
          <w:b/>
        </w:rPr>
        <w:t xml:space="preserve">Prepared &amp; Authorized By (Purchasing Party)</w:t>
      </w:r>
    </w:p>
    <w:p>
      <w:pPr>
        <w:pStyle w:val="BodyText"/>
      </w:pPr>
      <w:r>
        <w:t xml:space="preserve">Budi Santoso</w:t>
      </w:r>
    </w:p>
    <w:p>
      <w:pPr>
        <w:pStyle w:val="BodyText"/>
      </w:pPr>
      <w:r>
        <w:t xml:space="preserve">Finance Director</w:t>
      </w:r>
    </w:p>
    <w:p>
      <w:pPr>
        <w:pStyle w:val="BodyText"/>
      </w:pPr>
      <w:r>
        <w:t xml:space="preserve">Nusantara Enterprise Solutions PT</w:t>
      </w:r>
    </w:p>
    <w:p>
      <w:pPr>
        <w:pStyle w:val="BodyText"/>
      </w:pPr>
      <w:r>
        <w:t xml:space="preserve">Indonesia Jakarta</w:t>
      </w:r>
    </w:p>
    <w:p>
      <w:pPr>
        <w:pStyle w:val="BodyText"/>
      </w:pPr>
      <w:r>
        <w:t xml:space="preserve">Date: 15 June 2025</w:t>
      </w:r>
    </w:p>
    <w:p>
      <w:pPr>
        <w:pStyle w:val="BodyText"/>
      </w:pPr>
      <w:r>
        <w:rPr>
          <w:bCs/>
          <w:b/>
        </w:rPr>
        <w:t xml:space="preserve">Accepted &amp; Confirmed By (Accountant Service Provider)</w:t>
      </w:r>
    </w:p>
    <w:p>
      <w:pPr>
        <w:pStyle w:val="BodyText"/>
      </w:pPr>
      <w:r>
        <w:t xml:space="preserve">Siti Rahmawati, CPA</w:t>
      </w:r>
    </w:p>
    <w:p>
      <w:pPr>
        <w:pStyle w:val="BodyText"/>
      </w:pPr>
      <w:r>
        <w:t xml:space="preserve">Managing Director</w:t>
      </w:r>
    </w:p>
    <w:p>
      <w:pPr>
        <w:pStyle w:val="BodyText"/>
      </w:pPr>
      <w:r>
        <w:t xml:space="preserve">Jakarta Professional Accounting Services CV</w:t>
      </w:r>
    </w:p>
    <w:p>
      <w:pPr>
        <w:pStyle w:val="BodyText"/>
      </w:pPr>
      <w:r>
        <w:t xml:space="preserve">Indonesia Jakarta</w:t>
      </w:r>
    </w:p>
    <w:p>
      <w:pPr>
        <w:pStyle w:val="BodyText"/>
      </w:pPr>
      <w:r>
        <w:t xml:space="preserve">Date: 15 June 2025</w:t>
      </w:r>
    </w:p>
    <w:p>
      <w:pPr>
        <w:pStyle w:val="BodyText"/>
      </w:pPr>
      <w:r>
        <w:t xml:space="preserve">This Purchase Order document (PO-JKT-2025-00472) is an official procurement record for Accountant services in Indonesia Jakarta. It is valid for a period of twelve (12) months from the effective date. Unauthorized reproduction or distribution of this document is prohibited under Indonesian intellectual property law.</w:t>
      </w:r>
    </w:p>
    <w:p>
      <w:pPr>
        <w:pStyle w:val="BodyText"/>
      </w:pPr>
      <w:r>
        <w:t xml:space="preserve">Document generated by: Corporate Procurement Department, Nusantara Enterprise Solutions PT, Indonesia Jakarta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Indonesia Jakarta</dc:title>
  <dc:creator/>
  <dc:language>en</dc:language>
  <cp:keywords/>
  <dcterms:created xsi:type="dcterms:W3CDTF">2026-10-10T09:18:44Z</dcterms:created>
  <dcterms:modified xsi:type="dcterms:W3CDTF">2026-10-10T09:18:44Z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