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Japan</w:t>
      </w:r>
      <w:r>
        <w:t xml:space="preserve"> </w:t>
      </w:r>
      <w:r>
        <w:t xml:space="preserve">Tokyo</w:t>
      </w:r>
    </w:p>
    <w:bookmarkStart w:id="26" w:name="purchase-order"/>
    <w:p>
      <w:pPr>
        <w:pStyle w:val="Heading1"/>
      </w:pPr>
      <w:r>
        <w:t xml:space="preserve">PURCHASE ORDER</w:t>
      </w:r>
    </w:p>
    <w:p>
      <w:pPr>
        <w:pStyle w:val="FirstParagraph"/>
      </w:pPr>
      <w:r>
        <w:t xml:space="preserve">PO-2025-TYO-04782</w:t>
      </w:r>
      <w:r>
        <w:t xml:space="preserve"> </w:t>
      </w:r>
      <w:r>
        <w:t xml:space="preserve"> </w:t>
      </w:r>
      <w:r>
        <w:t xml:space="preserve"> </w:t>
      </w:r>
      <w:r>
        <w:t xml:space="preserve">CONFIDENTIAL</w:t>
      </w:r>
    </w:p>
    <w:bookmarkStart w:id="20" w:name="issuing-company-buyer"/>
    <w:p>
      <w:pPr>
        <w:pStyle w:val="Heading2"/>
      </w:pPr>
      <w:r>
        <w:t xml:space="preserve">Issuing Company (Buyer)</w:t>
      </w:r>
    </w:p>
    <w:p>
      <w:pPr>
        <w:pStyle w:val="FirstParagraph"/>
      </w:pPr>
      <w:r>
        <w:rPr>
          <w:bCs/>
          <w:b/>
        </w:rPr>
        <w:t xml:space="preserve">Shinagawa Digital Solutions K.K.</w:t>
      </w:r>
      <w:r>
        <w:br/>
      </w:r>
      <w:r>
        <w:t xml:space="preserve">Address: 3-14-30 Konan, Minato-ku, Tokyo 108-0076, Japan Tokyo</w:t>
      </w:r>
      <w:r>
        <w:br/>
      </w:r>
      <w:r>
        <w:t xml:space="preserve">Corporate Number: 4010001234567</w:t>
      </w:r>
      <w:r>
        <w:br/>
      </w:r>
      <w:r>
        <w:t xml:space="preserve">Representative: Mr. Kenji Tanaka, Chief Financial Officer</w:t>
      </w:r>
      <w:r>
        <w:br/>
      </w:r>
      <w:r>
        <w:t xml:space="preserve">Contact: finance@shinagawa-digital.co.jp | +81-3-5721-8800</w:t>
      </w:r>
    </w:p>
    <w:bookmarkEnd w:id="20"/>
    <w:p>
      <w:pPr>
        <w:pStyle w:val="BodyText"/>
      </w:pPr>
      <w:r>
        <w:rPr>
          <w:bCs/>
          <w:b/>
        </w:rPr>
        <w:t xml:space="preserve">Purchase Order No.:</w:t>
      </w:r>
      <w:r>
        <w:t xml:space="preserve"> </w:t>
      </w:r>
      <w:r>
        <w:t xml:space="preserve">PO-2025-TYO-04782</w:t>
      </w:r>
      <w:r>
        <w:br/>
      </w:r>
      <w:r>
        <w:rPr>
          <w:bCs/>
          <w:b/>
        </w:rPr>
        <w:t xml:space="preserve">Date of Issue:</w:t>
      </w:r>
      <w:r>
        <w:t xml:space="preserve"> </w:t>
      </w:r>
      <w:r>
        <w:t xml:space="preserve">15 June 2025</w:t>
      </w:r>
      <w:r>
        <w:br/>
      </w:r>
      <w:r>
        <w:rPr>
          <w:bCs/>
          <w:b/>
        </w:rPr>
        <w:t xml:space="preserve">Required Start Date:</w:t>
      </w:r>
      <w:r>
        <w:t xml:space="preserve"> </w:t>
      </w:r>
      <w:r>
        <w:t xml:space="preserve">1 July 2025</w:t>
      </w:r>
      <w:r>
        <w:br/>
      </w:r>
      <w:r>
        <w:rPr>
          <w:bCs/>
          <w:b/>
        </w:rPr>
        <w:t xml:space="preserve">Contract Duration:</w:t>
      </w:r>
      <w:r>
        <w:t xml:space="preserve"> </w:t>
      </w:r>
      <w:r>
        <w:t xml:space="preserve">12 months (1 July 2025 – 30 June 2026)</w:t>
      </w:r>
      <w:r>
        <w:br/>
      </w:r>
      <w:r>
        <w:rPr>
          <w:bCs/>
          <w:b/>
        </w:rPr>
        <w:t xml:space="preserve">Currency:</w:t>
      </w:r>
      <w:r>
        <w:t xml:space="preserve"> </w:t>
      </w:r>
      <w:r>
        <w:t xml:space="preserve">Japanese Yen (JPY)</w:t>
      </w:r>
    </w:p>
    <w:bookmarkStart w:id="21" w:name="service-provider-seller-accountant"/>
    <w:p>
      <w:pPr>
        <w:pStyle w:val="Heading2"/>
      </w:pPr>
      <w:r>
        <w:t xml:space="preserve">Service Provider (Seller) – Accountant</w:t>
      </w:r>
    </w:p>
    <w:p>
      <w:pPr>
        <w:pStyle w:val="FirstParagraph"/>
      </w:pPr>
      <w:r>
        <w:rPr>
          <w:bCs/>
          <w:b/>
        </w:rPr>
        <w:t xml:space="preserve">Accountant Firm:</w:t>
      </w:r>
      <w:r>
        <w:t xml:space="preserve"> </w:t>
      </w:r>
      <w:r>
        <w:t xml:space="preserve">Hoshino &amp; Partners Certified Public Accountants (Kensai)</w:t>
      </w:r>
      <w:r>
        <w:br/>
      </w:r>
      <w:r>
        <w:t xml:space="preserve">Address: 2-7-1 Nishi-Shimbashi, Minato-ku, Tokyo 105-0003, Japan Tokyo</w:t>
      </w:r>
      <w:r>
        <w:br/>
      </w:r>
      <w:r>
        <w:t xml:space="preserve">Certification No.: 2019-0447 (Tokyo Board of Certified Public Accountants)</w:t>
      </w:r>
      <w:r>
        <w:br/>
      </w:r>
      <w:r>
        <w:t xml:space="preserve">Lead Accountant: Ms. Yuki Hoshino, CPA (Kensai), Tax Advisor</w:t>
      </w:r>
      <w:r>
        <w:br/>
      </w:r>
      <w:r>
        <w:t xml:space="preserve">Contact: y.hoshino@hoshino-partners.jp | +81-3-6721-4455</w:t>
      </w:r>
    </w:p>
    <w:bookmarkEnd w:id="21"/>
    <w:bookmarkStart w:id="22" w:name="purpose-and-scope-of-this-purchase-order"/>
    <w:p>
      <w:pPr>
        <w:pStyle w:val="Heading2"/>
      </w:pPr>
      <w:r>
        <w:t xml:space="preserve">1. Purpose and Scope of This Purchase Order</w:t>
      </w:r>
    </w:p>
    <w:p>
      <w:pPr>
        <w:pStyle w:val="FirstParagraph"/>
      </w:pPr>
      <w:r>
        <w:t xml:space="preserve">This Purchase Order is issued by Shinagawa Digital Solutions K.K. to formally engage the services of a qualified Accountant based in Japan Tokyo for the provision of comprehensive accounting, tax compliance, and financial advisory services. The Accountant engaged under this Purchase Order shall operate in full compliance with the Japanese Commercial Code, the Income Tax Act, the Corporation Tax Act, and all applicable regulations enforced by the National Tax Agency (NTA) and the Tokyo Metropolitan Tax Office. The scope of this Purchase Order covers all professional Accountant services required to maintain the financial integrity of the buyer's operations within the Japan Tokyo metropolitan area and its surrounding business districts.</w:t>
      </w:r>
    </w:p>
    <w:bookmarkEnd w:id="22"/>
    <w:bookmarkStart w:id="23" w:name="line-items-accountant-services-ordered"/>
    <w:p>
      <w:pPr>
        <w:pStyle w:val="Heading2"/>
      </w:pPr>
      <w:r>
        <w:t xml:space="preserve">2. Line Items – Accountant Services Ordered</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Unit Price (JPY)</w:t>
            </w:r>
          </w:p>
        </w:tc>
        <w:tc>
          <w:tcPr/>
          <w:p>
            <w:pPr>
              <w:pStyle w:val="Compact"/>
              <w:jc w:val="left"/>
            </w:pPr>
            <w:r>
              <w:t xml:space="preserve">Quantity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Monthly bookkeeping and general ledger maintenance by the assigned Accountant</w:t>
            </w:r>
          </w:p>
        </w:tc>
        <w:tc>
          <w:tcPr/>
          <w:p>
            <w:pPr>
              <w:pStyle w:val="Compact"/>
              <w:jc w:val="left"/>
            </w:pPr>
            <w:r>
              <w:t xml:space="preserve">Monthly</w:t>
            </w:r>
          </w:p>
        </w:tc>
        <w:tc>
          <w:tcPr/>
          <w:p>
            <w:pPr>
              <w:pStyle w:val="Compact"/>
              <w:jc w:val="left"/>
            </w:pPr>
            <w:r>
              <w:t xml:space="preserve">180,000</w:t>
            </w:r>
          </w:p>
        </w:tc>
        <w:tc>
          <w:tcPr/>
          <w:p>
            <w:pPr>
              <w:pStyle w:val="Compact"/>
              <w:jc w:val="left"/>
            </w:pPr>
            <w:r>
              <w:t xml:space="preserve">12</w:t>
            </w:r>
          </w:p>
        </w:tc>
        <w:tc>
          <w:tcPr/>
          <w:p>
            <w:pPr>
              <w:pStyle w:val="Compact"/>
              <w:jc w:val="left"/>
            </w:pPr>
            <w:r>
              <w:t xml:space="preserve">2,160,000</w:t>
            </w:r>
          </w:p>
        </w:tc>
      </w:tr>
      <w:tr>
        <w:tc>
          <w:tcPr/>
          <w:p>
            <w:pPr>
              <w:pStyle w:val="Compact"/>
              <w:jc w:val="left"/>
            </w:pPr>
            <w:r>
              <w:t xml:space="preserve">02</w:t>
            </w:r>
          </w:p>
        </w:tc>
        <w:tc>
          <w:tcPr/>
          <w:p>
            <w:pPr>
              <w:pStyle w:val="Compact"/>
              <w:jc w:val="left"/>
            </w:pPr>
            <w:r>
              <w:t xml:space="preserve">Preparation and filing of quarterly Corporation Tax provisional returns (Japan Tokyo jurisdiction)</w:t>
            </w:r>
          </w:p>
        </w:tc>
        <w:tc>
          <w:tcPr/>
          <w:p>
            <w:pPr>
              <w:pStyle w:val="Compact"/>
              <w:jc w:val="left"/>
            </w:pPr>
            <w:r>
              <w:t xml:space="preserve">Quarterly</w:t>
            </w:r>
          </w:p>
        </w:tc>
        <w:tc>
          <w:tcPr/>
          <w:p>
            <w:pPr>
              <w:pStyle w:val="Compact"/>
              <w:jc w:val="left"/>
            </w:pPr>
            <w:r>
              <w:t xml:space="preserve">250,000</w:t>
            </w:r>
          </w:p>
        </w:tc>
        <w:tc>
          <w:tcPr/>
          <w:p>
            <w:pPr>
              <w:pStyle w:val="Compact"/>
              <w:jc w:val="left"/>
            </w:pPr>
            <w:r>
              <w:t xml:space="preserve">4</w:t>
            </w:r>
          </w:p>
        </w:tc>
        <w:tc>
          <w:tcPr/>
          <w:p>
            <w:pPr>
              <w:pStyle w:val="Compact"/>
              <w:jc w:val="left"/>
            </w:pPr>
            <w:r>
              <w:t xml:space="preserve">1,000,000</w:t>
            </w:r>
          </w:p>
        </w:tc>
      </w:tr>
      <w:tr>
        <w:tc>
          <w:tcPr/>
          <w:p>
            <w:pPr>
              <w:pStyle w:val="Compact"/>
              <w:jc w:val="left"/>
            </w:pPr>
            <w:r>
              <w:t xml:space="preserve">03</w:t>
            </w:r>
          </w:p>
        </w:tc>
        <w:tc>
          <w:tcPr/>
          <w:p>
            <w:pPr>
              <w:pStyle w:val="Compact"/>
              <w:jc w:val="left"/>
            </w:pPr>
            <w:r>
              <w:t xml:space="preserve">Annual financial statement preparation and audit support by the Accountant</w:t>
            </w:r>
          </w:p>
        </w:tc>
        <w:tc>
          <w:tcPr/>
          <w:p>
            <w:pPr>
              <w:pStyle w:val="Compact"/>
              <w:jc w:val="left"/>
            </w:pPr>
            <w:r>
              <w:t xml:space="preserve">Annual</w:t>
            </w:r>
          </w:p>
        </w:tc>
        <w:tc>
          <w:tcPr/>
          <w:p>
            <w:pPr>
              <w:pStyle w:val="Compact"/>
              <w:jc w:val="left"/>
            </w:pPr>
            <w:r>
              <w:t xml:space="preserve">1,200,000</w:t>
            </w:r>
          </w:p>
        </w:tc>
        <w:tc>
          <w:tcPr/>
          <w:p>
            <w:pPr>
              <w:pStyle w:val="Compact"/>
              <w:jc w:val="left"/>
            </w:pPr>
            <w:r>
              <w:t xml:space="preserve">1</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Monthly consumption tax (JCT) calculation and filing – Japan Tokyo tax office</w:t>
            </w:r>
          </w:p>
        </w:tc>
        <w:tc>
          <w:tcPr/>
          <w:p>
            <w:pPr>
              <w:pStyle w:val="Compact"/>
              <w:jc w:val="left"/>
            </w:pPr>
            <w:r>
              <w:t xml:space="preserve">Monthly</w:t>
            </w:r>
          </w:p>
        </w:tc>
        <w:tc>
          <w:tcPr/>
          <w:p>
            <w:pPr>
              <w:pStyle w:val="Compact"/>
              <w:jc w:val="left"/>
            </w:pPr>
            <w:r>
              <w:t xml:space="preserve">95,000</w:t>
            </w:r>
          </w:p>
        </w:tc>
        <w:tc>
          <w:tcPr/>
          <w:p>
            <w:pPr>
              <w:pStyle w:val="Compact"/>
              <w:jc w:val="left"/>
            </w:pPr>
            <w:r>
              <w:t xml:space="preserve">12</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Payroll accounting and social insurance contribution reconciliation (Accountant-managed)</w:t>
            </w:r>
          </w:p>
        </w:tc>
        <w:tc>
          <w:tcPr/>
          <w:p>
            <w:pPr>
              <w:pStyle w:val="Compact"/>
              <w:jc w:val="left"/>
            </w:pPr>
            <w:r>
              <w:t xml:space="preserve">Monthly</w:t>
            </w:r>
          </w:p>
        </w:tc>
        <w:tc>
          <w:tcPr/>
          <w:p>
            <w:pPr>
              <w:pStyle w:val="Compact"/>
              <w:jc w:val="left"/>
            </w:pPr>
            <w:r>
              <w:t xml:space="preserve">120,000</w:t>
            </w:r>
          </w:p>
        </w:tc>
        <w:tc>
          <w:tcPr/>
          <w:p>
            <w:pPr>
              <w:pStyle w:val="Compact"/>
              <w:jc w:val="left"/>
            </w:pPr>
            <w:r>
              <w:t xml:space="preserve">12</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Ad-hoc tax advisory and compliance consultation with the Accountant (up to 20 hours)</w:t>
            </w:r>
          </w:p>
        </w:tc>
        <w:tc>
          <w:tcPr/>
          <w:p>
            <w:pPr>
              <w:pStyle w:val="Compact"/>
              <w:jc w:val="left"/>
            </w:pPr>
            <w:r>
              <w:t xml:space="preserve">As needed</w:t>
            </w:r>
          </w:p>
        </w:tc>
        <w:tc>
          <w:tcPr/>
          <w:p>
            <w:pPr>
              <w:pStyle w:val="Compact"/>
              <w:jc w:val="left"/>
            </w:pPr>
            <w:r>
              <w:t xml:space="preserve">15,000/hr</w:t>
            </w:r>
          </w:p>
        </w:tc>
        <w:tc>
          <w:tcPr/>
          <w:p>
            <w:pPr>
              <w:pStyle w:val="Compact"/>
              <w:jc w:val="left"/>
            </w:pPr>
            <w:r>
              <w:t xml:space="preserve">20</w:t>
            </w:r>
          </w:p>
        </w:tc>
        <w:tc>
          <w:tcPr/>
          <w:p>
            <w:pPr>
              <w:pStyle w:val="Compact"/>
              <w:jc w:val="left"/>
            </w:pPr>
            <w:r>
              <w:t xml:space="preserve">300,000</w:t>
            </w:r>
          </w:p>
        </w:tc>
      </w:tr>
      <w:tr>
        <w:tc>
          <w:tcPr/>
          <w:p>
            <w:pPr>
              <w:pStyle w:val="Compact"/>
              <w:jc w:val="left"/>
            </w:pPr>
            <w:r>
              <w:t xml:space="preserve">07</w:t>
            </w:r>
          </w:p>
        </w:tc>
        <w:tc>
          <w:tcPr/>
          <w:p>
            <w:pPr>
              <w:pStyle w:val="Compact"/>
              <w:jc w:val="left"/>
            </w:pPr>
            <w:r>
              <w:t xml:space="preserve">Year-end bonus tax calculation and withholding compliance (Accountant responsibility)</w:t>
            </w:r>
          </w:p>
        </w:tc>
        <w:tc>
          <w:tcPr/>
          <w:p>
            <w:pPr>
              <w:pStyle w:val="Compact"/>
              <w:jc w:val="left"/>
            </w:pPr>
            <w:r>
              <w:t xml:space="preserve">Annual</w:t>
            </w:r>
          </w:p>
        </w:tc>
        <w:tc>
          <w:tcPr/>
          <w:p>
            <w:pPr>
              <w:pStyle w:val="Compact"/>
              <w:jc w:val="left"/>
            </w:pPr>
            <w:r>
              <w:t xml:space="preserve">180,000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Financial reporting to the Tokyo Stock Exchange (if applicable) and board-level reporting</w:t>
            </w:r>
          </w:p>
        </w:tc>
        <w:tc>
          <w:tcPr/>
          <w:p>
            <w:pPr>
              <w:pStyle w:val="Compact"/>
              <w:jc w:val="left"/>
            </w:pPr>
            <w:r>
              <w:t xml:space="preserve">Quarterly</w:t>
            </w:r>
          </w:p>
        </w:tc>
        <w:tc>
          <w:tcPr/>
          <w:p>
            <w:pPr>
              <w:pStyle w:val="Compact"/>
              <w:jc w:val="left"/>
            </w:pPr>
            <w:r>
              <w:t xml:space="preserve">350,000</w:t>
            </w:r>
          </w:p>
        </w:tc>
        <w:tc>
          <w:tcPr/>
          <w:p>
            <w:pPr>
              <w:pStyle w:val="Compact"/>
              <w:jc w:val="left"/>
            </w:pPr>
            <w:r>
              <w:t xml:space="preserve">4</w:t>
            </w:r>
          </w:p>
        </w:tc>
        <w:tc>
          <w:tcPr/>
          <w:p>
            <w:pPr>
              <w:pStyle w:val="Compact"/>
              <w:jc w:val="left"/>
            </w:pPr>
            <w:r>
              <w:t xml:space="preserve">1,400,000</w:t>
            </w:r>
          </w:p>
        </w:tc>
      </w:tr>
      <w:tr>
        <w:tc>
          <w:tcPr>
            <w:gridSpan w:val="5"/>
          </w:tcPr>
          <w:p>
            <w:pPr>
              <w:pStyle w:val="Compact"/>
              <w:jc w:val="left"/>
            </w:pPr>
            <w:r>
              <w:t xml:space="preserve">Subtotal</w:t>
            </w:r>
          </w:p>
        </w:tc>
        <w:tc>
          <w:tcPr/>
          <w:p>
            <w:pPr>
              <w:pStyle w:val="Compact"/>
              <w:jc w:val="left"/>
            </w:pPr>
            <w:r>
              <w:t xml:space="preserve">8,820,000</w:t>
            </w:r>
          </w:p>
        </w:tc>
      </w:tr>
      <w:tr>
        <w:tc>
          <w:tcPr>
            <w:gridSpan w:val="5"/>
          </w:tcPr>
          <w:p>
            <w:pPr>
              <w:pStyle w:val="Compact"/>
              <w:jc w:val="left"/>
            </w:pPr>
            <w:r>
              <w:t xml:space="preserve">Consumption Tax (10%)</w:t>
            </w:r>
          </w:p>
        </w:tc>
        <w:tc>
          <w:tcPr/>
          <w:p>
            <w:pPr>
              <w:pStyle w:val="Compact"/>
              <w:jc w:val="left"/>
            </w:pPr>
            <w:r>
              <w:t xml:space="preserve">882,000</w:t>
            </w:r>
          </w:p>
        </w:tc>
      </w:tr>
      <w:tr>
        <w:tc>
          <w:tcPr>
            <w:gridSpan w:val="5"/>
          </w:tcPr>
          <w:p>
            <w:pPr>
              <w:pStyle w:val="Compact"/>
              <w:jc w:val="left"/>
            </w:pPr>
            <w:r>
              <w:t xml:space="preserve">TOTAL AMOUNT DUE (JPY)</w:t>
            </w:r>
          </w:p>
        </w:tc>
        <w:tc>
          <w:tcPr/>
          <w:p>
            <w:pPr>
              <w:pStyle w:val="Compact"/>
              <w:jc w:val="left"/>
            </w:pPr>
            <w:r>
              <w:t xml:space="preserve">9,702,000</w:t>
            </w:r>
          </w:p>
        </w:tc>
      </w:tr>
    </w:tbl>
    <w:bookmarkEnd w:id="23"/>
    <w:bookmarkStart w:id="24" w:name="Xde1b1aa910af0d218dd23eb59edb0f3a99f22fc"/>
    <w:p>
      <w:pPr>
        <w:pStyle w:val="Heading2"/>
      </w:pPr>
      <w:r>
        <w:t xml:space="preserve">3. Terms and Conditions of This Purchase Order</w:t>
      </w:r>
    </w:p>
    <w:p>
      <w:pPr>
        <w:pStyle w:val="FirstParagraph"/>
      </w:pPr>
      <w:r>
        <w:rPr>
          <w:bCs/>
          <w:b/>
        </w:rPr>
        <w:t xml:space="preserve">3.1 Payment Terms:</w:t>
      </w:r>
      <w:r>
        <w:t xml:space="preserve"> </w:t>
      </w:r>
      <w:r>
        <w:t xml:space="preserve">All invoices issued by the Accountant under this Purchase Order shall be payable within 30 days of the invoice date via bank transfer to the account designated by Hoshino &amp; Partners. Payment shall be made in Japanese Yen (JPY) from the buyer's corporate account held at a bank in Japan Tokyo.</w:t>
      </w:r>
    </w:p>
    <w:p>
      <w:pPr>
        <w:pStyle w:val="BodyText"/>
      </w:pPr>
      <w:r>
        <w:rPr>
          <w:bCs/>
          <w:b/>
        </w:rPr>
        <w:t xml:space="preserve">3.2 Performance Standards:</w:t>
      </w:r>
      <w:r>
        <w:t xml:space="preserve"> </w:t>
      </w:r>
      <w:r>
        <w:t xml:space="preserve">The Accountant shall deliver all financial documents, tax filings, and reports in accordance with Japanese Generally Accepted Accounting Principles (J-GAAP) and International Financial Reporting Standards (IFRS) where applicable. All work product shall be delivered to the buyer's finance department located in Minato-ku, Japan Tokyo, no later than the 10th business day following the end of each reporting period.</w:t>
      </w:r>
    </w:p>
    <w:p>
      <w:pPr>
        <w:pStyle w:val="BodyText"/>
      </w:pPr>
      <w:r>
        <w:rPr>
          <w:bCs/>
          <w:b/>
        </w:rPr>
        <w:t xml:space="preserve">3.3 Confidentiality:</w:t>
      </w:r>
      <w:r>
        <w:t xml:space="preserve"> </w:t>
      </w:r>
      <w:r>
        <w:t xml:space="preserve">The Accountant acknowledges that all financial data, corporate records, and proprietary information accessed in the course of fulfilling this Purchase Order are strictly confidential. The Accountant shall not disclose any information to third parties without prior written consent from Shinagawa Digital Solutions K.K., in accordance with the Japanese Act on the Protection of Personal Information (APPI).</w:t>
      </w:r>
    </w:p>
    <w:p>
      <w:pPr>
        <w:pStyle w:val="BodyText"/>
      </w:pPr>
      <w:r>
        <w:rPr>
          <w:bCs/>
          <w:b/>
        </w:rPr>
        <w:t xml:space="preserve">3.4 Liability and Indemnification:</w:t>
      </w:r>
      <w:r>
        <w:t xml:space="preserve"> </w:t>
      </w:r>
      <w:r>
        <w:t xml:space="preserve">The Accountant shall be liable for any penalties, surcharges, or interest imposed by the National Tax Agency or the Tokyo Metropolitan Government as a result of errors, omissions, or late filings attributable to the Accountant's professional negligence. The Accountant shall maintain professional indemnity insurance with a minimum coverage of JPY 50,000,000, valid throughout the term of this Purchase Order.</w:t>
      </w:r>
    </w:p>
    <w:p>
      <w:pPr>
        <w:pStyle w:val="BodyText"/>
      </w:pPr>
      <w:r>
        <w:rPr>
          <w:bCs/>
          <w:b/>
        </w:rPr>
        <w:t xml:space="preserve">3.5 Termination:</w:t>
      </w:r>
      <w:r>
        <w:t xml:space="preserve"> </w:t>
      </w:r>
      <w:r>
        <w:t xml:space="preserve">Either party may terminate this Purchase Order with 60 days' written notice. In the event of termination, the Accountant shall complete all outstanding filings and deliver a full handover of records to the buyer or a successor Accountant within 30 days of the termination effective date.</w:t>
      </w:r>
    </w:p>
    <w:p>
      <w:pPr>
        <w:pStyle w:val="BodyText"/>
      </w:pPr>
      <w:r>
        <w:rPr>
          <w:bCs/>
          <w:b/>
        </w:rPr>
        <w:t xml:space="preserve">3.6 Governing Law:</w:t>
      </w:r>
      <w:r>
        <w:t xml:space="preserve"> </w:t>
      </w:r>
      <w:r>
        <w:t xml:space="preserve">This Purchase Order shall be governed by and construed in accordance with the laws of Japan. Any disputes arising from this Purchase Order shall be subject to the exclusive jurisdiction of the Tokyo District Court, Japan Tokyo.</w:t>
      </w:r>
    </w:p>
    <w:bookmarkEnd w:id="24"/>
    <w:bookmarkStart w:id="25" w:name="acceptance-and-authorization"/>
    <w:p>
      <w:pPr>
        <w:pStyle w:val="Heading2"/>
      </w:pPr>
      <w:r>
        <w:t xml:space="preserve">4. Acceptance and Authorization</w:t>
      </w:r>
    </w:p>
    <w:p>
      <w:pPr>
        <w:pStyle w:val="FirstParagraph"/>
      </w:pPr>
      <w:r>
        <w:t xml:space="preserve">By signing below, both parties acknowledge and accept all terms, conditions, and service specifications outlined in this Purchase Order for the engagement of the Accountant in Japan Tokyo. This Purchase Order becomes effective upon the signature of both the authorized representative of the buyer and the lead Accountant of the service provider.</w:t>
      </w:r>
    </w:p>
    <w:bookmarkEnd w:id="25"/>
    <w:p>
      <w:pPr>
        <w:pStyle w:val="BodyText"/>
      </w:pPr>
      <w:r>
        <w:rPr>
          <w:bCs/>
          <w:b/>
        </w:rPr>
        <w:t xml:space="preserve">For and on behalf of Shinagawa Digital Solutions K.K. (Buyer)</w:t>
      </w:r>
      <w:r>
        <w:br/>
      </w:r>
      <w:r>
        <w:br/>
      </w:r>
      <w:r>
        <w:t xml:space="preserve">Signature: ______________________________</w:t>
      </w:r>
      <w:r>
        <w:br/>
      </w:r>
      <w:r>
        <w:t xml:space="preserve">Name: Kenji Tanaka</w:t>
      </w:r>
      <w:r>
        <w:br/>
      </w:r>
      <w:r>
        <w:t xml:space="preserve">Title: Chief Financial Officer</w:t>
      </w:r>
      <w:r>
        <w:br/>
      </w:r>
      <w:r>
        <w:t xml:space="preserve">Date: 15 June 2025</w:t>
      </w:r>
      <w:r>
        <w:br/>
      </w:r>
      <w:r>
        <w:t xml:space="preserve">Company Seal (Hanko): [Affixed]</w:t>
      </w:r>
    </w:p>
    <w:p>
      <w:pPr>
        <w:pStyle w:val="BodyText"/>
      </w:pPr>
      <w:r>
        <w:rPr>
          <w:bCs/>
          <w:b/>
        </w:rPr>
        <w:t xml:space="preserve">For and on behalf of Hoshino &amp; Partners (Accountant / Seller)</w:t>
      </w:r>
      <w:r>
        <w:br/>
      </w:r>
      <w:r>
        <w:br/>
      </w:r>
      <w:r>
        <w:t xml:space="preserve">Signature: ______________________________</w:t>
      </w:r>
      <w:r>
        <w:br/>
      </w:r>
      <w:r>
        <w:t xml:space="preserve">Name: Yuki Hoshino, CPA (Kensai)</w:t>
      </w:r>
      <w:r>
        <w:br/>
      </w:r>
      <w:r>
        <w:t xml:space="preserve">Title: Managing Partner, Lead Accountant</w:t>
      </w:r>
      <w:r>
        <w:br/>
      </w:r>
      <w:r>
        <w:t xml:space="preserve">Date: 15 June 2025</w:t>
      </w:r>
      <w:r>
        <w:br/>
      </w:r>
      <w:r>
        <w:t xml:space="preserve">Firm Seal (Hanko): [Affixed]</w:t>
      </w:r>
    </w:p>
    <w:p>
      <w:pPr>
        <w:pStyle w:val="BodyText"/>
      </w:pPr>
      <w:r>
        <w:t xml:space="preserve">This Purchase Order (PO-2025-TYO-04782) is a binding document for the procurement of professional Accountant services in Japan Tokyo. A total of three (3) original copies have been executed: one retained by the buyer, one by the Accountant firm, and one filed with the Tokyo Chamber of Commerce and Industry for regulatory reference. All communications regarding this Purchase Order shall be directed to the finance department of Shinagawa Digital Solutions K.K., 3-14-30 Konan, Minato-ku, Tokyo, Japan Tokyo.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Japan Tokyo</dc:title>
  <dc:creator/>
  <dc:language>en</dc:language>
  <cp:keywords/>
  <dcterms:created xsi:type="dcterms:W3CDTF">2026-10-10T06:23:24Z</dcterms:created>
  <dcterms:modified xsi:type="dcterms:W3CDTF">2026-10-10T06:23:24Z</dcterms:modified>
</cp:coreProperties>
</file>

<file path=docProps/custom.xml><?xml version="1.0" encoding="utf-8"?>
<Properties xmlns="http://schemas.openxmlformats.org/officeDocument/2006/custom-properties" xmlns:vt="http://schemas.openxmlformats.org/officeDocument/2006/docPropsVTypes"/>
</file>