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Services Engagement – Accountant</w:t>
      </w:r>
    </w:p>
    <w:p>
      <w:pPr>
        <w:pStyle w:val="BodyText"/>
      </w:pPr>
      <w:r>
        <w:t xml:space="preserve">Meridian Corporate Solutions Sdn. Bhd.</w:t>
      </w:r>
    </w:p>
    <w:p>
      <w:pPr>
        <w:pStyle w:val="BodyText"/>
      </w:pPr>
      <w:r>
        <w:t xml:space="preserve">Level 24, Menara Maxis, Jalan Tun Razak, 50400 Malaysia Kuala Lumpur</w:t>
      </w:r>
    </w:p>
    <w:p>
      <w:pPr>
        <w:pStyle w:val="BodyText"/>
      </w:pPr>
      <w:r>
        <w:t xml:space="preserve">Tel: +603-2181-8888 | Email: procurement@meridiancorp.my | Registration No: 201901045678 (K)</w:t>
      </w:r>
    </w:p>
    <w:bookmarkEnd w:id="20"/>
    <w:p>
      <w:pPr>
        <w:pStyle w:val="BodyText"/>
      </w:pPr>
      <w:r>
        <w:t xml:space="preserve">Purchase Order No: PO-2025-04782</w:t>
      </w:r>
      <w:r>
        <w:br/>
      </w:r>
      <w:r>
        <w:t xml:space="preserve">Date of Issue: 15 June 2025</w:t>
      </w:r>
      <w:r>
        <w:br/>
      </w:r>
      <w:r>
        <w:t xml:space="preserve">Valid Until: 15 July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Corporate Solutions Sdn. Bhd.</w:t>
      </w:r>
    </w:p>
    <w:p>
      <w:pPr>
        <w:pStyle w:val="BodyText"/>
      </w:pPr>
      <w:r>
        <w:rPr>
          <w:bCs/>
          <w:b/>
        </w:rPr>
        <w:t xml:space="preserve">Address:</w:t>
      </w:r>
      <w:r>
        <w:t xml:space="preserve"> </w:t>
      </w:r>
      <w:r>
        <w:t xml:space="preserve">Level 24, Menara Maxis, Jalan Tun Razak, 50400 Malaysia Kuala Lumpur</w:t>
      </w:r>
    </w:p>
    <w:p>
      <w:pPr>
        <w:pStyle w:val="BodyText"/>
      </w:pPr>
      <w:r>
        <w:rPr>
          <w:bCs/>
          <w:b/>
        </w:rPr>
        <w:t xml:space="preserve">Attention:</w:t>
      </w:r>
      <w:r>
        <w:t xml:space="preserve"> </w:t>
      </w:r>
      <w:r>
        <w:t xml:space="preserve">Mr. Tan Wei Ming, Head of Finance &amp; Procurement</w:t>
      </w:r>
    </w:p>
    <w:p>
      <w:pPr>
        <w:pStyle w:val="BodyText"/>
      </w:pPr>
      <w:r>
        <w:rPr>
          <w:bCs/>
          <w:b/>
        </w:rPr>
        <w:t xml:space="preserve">Contact:</w:t>
      </w:r>
      <w:r>
        <w:t xml:space="preserve"> </w:t>
      </w:r>
      <w:r>
        <w:t xml:space="preserve">+603-2181-8892 | tan.wei@meridiancorp.my</w:t>
      </w:r>
    </w:p>
    <w:p>
      <w:pPr>
        <w:pStyle w:val="BodyText"/>
      </w:pPr>
      <w:r>
        <w:rPr>
          <w:bCs/>
          <w:b/>
        </w:rPr>
        <w:t xml:space="preserve">Company Registration:</w:t>
      </w:r>
      <w:r>
        <w:t xml:space="preserve"> </w:t>
      </w:r>
      <w:r>
        <w:t xml:space="preserve">201901045678 (K)</w:t>
      </w:r>
    </w:p>
    <w:p>
      <w:pPr>
        <w:pStyle w:val="BodyText"/>
      </w:pPr>
      <w:r>
        <w:rPr>
          <w:bCs/>
          <w:b/>
        </w:rPr>
        <w:t xml:space="preserve">SSR No:</w:t>
      </w:r>
      <w:r>
        <w:t xml:space="preserve"> </w:t>
      </w:r>
      <w:r>
        <w:t xml:space="preserve">201901045678</w:t>
      </w:r>
    </w:p>
    <w:bookmarkEnd w:id="21"/>
    <w:bookmarkStart w:id="22" w:name="supplier-service-provider"/>
    <w:p>
      <w:pPr>
        <w:pStyle w:val="Heading3"/>
      </w:pPr>
      <w:r>
        <w:t xml:space="preserve">Supplier (Service Provider)</w:t>
      </w:r>
    </w:p>
    <w:p>
      <w:pPr>
        <w:pStyle w:val="FirstParagraph"/>
      </w:pPr>
      <w:r>
        <w:rPr>
          <w:bCs/>
          <w:b/>
        </w:rPr>
        <w:t xml:space="preserve">Firm:</w:t>
      </w:r>
      <w:r>
        <w:t xml:space="preserve"> </w:t>
      </w:r>
      <w:r>
        <w:t xml:space="preserve">Tan &amp; Associates Chartered Accountants</w:t>
      </w:r>
    </w:p>
    <w:p>
      <w:pPr>
        <w:pStyle w:val="BodyText"/>
      </w:pPr>
      <w:r>
        <w:rPr>
          <w:bCs/>
          <w:b/>
        </w:rPr>
        <w:t xml:space="preserve">Address:</w:t>
      </w:r>
      <w:r>
        <w:t xml:space="preserve"> </w:t>
      </w:r>
      <w:r>
        <w:t xml:space="preserve">Suite 1208, Level 12, The Exchange TRX, Persiaran TRX 1, 50363 Malaysia Kuala Lumpur</w:t>
      </w:r>
    </w:p>
    <w:p>
      <w:pPr>
        <w:pStyle w:val="BodyText"/>
      </w:pPr>
      <w:r>
        <w:rPr>
          <w:bCs/>
          <w:b/>
        </w:rPr>
        <w:t xml:space="preserve">Attention:</w:t>
      </w:r>
      <w:r>
        <w:t xml:space="preserve"> </w:t>
      </w:r>
      <w:r>
        <w:t xml:space="preserve">Ms. Nurul Aisyah binti Rahman, Senior Partner</w:t>
      </w:r>
    </w:p>
    <w:p>
      <w:pPr>
        <w:pStyle w:val="BodyText"/>
      </w:pPr>
      <w:r>
        <w:rPr>
          <w:bCs/>
          <w:b/>
        </w:rPr>
        <w:t xml:space="preserve">Contact:</w:t>
      </w:r>
      <w:r>
        <w:t xml:space="preserve"> </w:t>
      </w:r>
      <w:r>
        <w:t xml:space="preserve">+603-2287-4455 | nurul.aisyah@tanassociates.my</w:t>
      </w:r>
    </w:p>
    <w:p>
      <w:pPr>
        <w:pStyle w:val="BodyText"/>
      </w:pPr>
      <w:r>
        <w:rPr>
          <w:bCs/>
          <w:b/>
        </w:rPr>
        <w:t xml:space="preserve">Registration:</w:t>
      </w:r>
      <w:r>
        <w:t xml:space="preserve"> </w:t>
      </w:r>
      <w:r>
        <w:t xml:space="preserve">MIA Membership No. 12847</w:t>
      </w:r>
    </w:p>
    <w:p>
      <w:pPr>
        <w:pStyle w:val="BodyText"/>
      </w:pPr>
      <w:r>
        <w:rPr>
          <w:bCs/>
          <w:b/>
        </w:rPr>
        <w:t xml:space="preserve">Bank:</w:t>
      </w:r>
      <w:r>
        <w:t xml:space="preserve"> </w:t>
      </w:r>
      <w:r>
        <w:t xml:space="preserve">Maybank | A/C: 5123-4567-8901</w:t>
      </w:r>
    </w:p>
    <w:bookmarkEnd w:id="22"/>
    <w:bookmarkStart w:id="24" w:name="Xe9820ca921b73c9db34c5507d03bc3cb4d139fc"/>
    <w:p>
      <w:pPr>
        <w:pStyle w:val="Heading2"/>
      </w:pPr>
      <w:r>
        <w:t xml:space="preserve">Description of Purchase – Accountant Professional Services</w:t>
      </w:r>
    </w:p>
    <w:p>
      <w:pPr>
        <w:pStyle w:val="FirstParagraph"/>
      </w:pPr>
      <w:r>
        <w:t xml:space="preserve">This Purchase Order is issued by Meridian Corporate Solutions Sdn. Bhd. to formally engage the services of a qualified</w:t>
      </w:r>
      <w:r>
        <w:t xml:space="preserve"> </w:t>
      </w:r>
      <w:r>
        <w:t xml:space="preserve">Accountant</w:t>
      </w:r>
      <w:r>
        <w:t xml:space="preserve"> </w:t>
      </w:r>
      <w:r>
        <w:t xml:space="preserve">and the associated professional support team from Tan &amp; Associates Chartered Accountants for the provision of comprehensive financial, tax, and compliance services. The engagement is to be carried out primarily at the buyer's registered office in</w:t>
      </w:r>
      <w:r>
        <w:t xml:space="preserve"> </w:t>
      </w:r>
      <w:r>
        <w:t xml:space="preserve">Malaysia Kuala Lumpur</w:t>
      </w:r>
      <w:r>
        <w:t xml:space="preserve"> </w:t>
      </w:r>
      <w:r>
        <w:t xml:space="preserve">and shall comply with all applicable regulations set forth by the Companies Commission of Malaysia (SSM), the Inland Revenue Board of Malaysia (LHDN), and the Malaysian Institute of Accountants (MIA).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Rate (MYR)</w:t>
            </w:r>
          </w:p>
        </w:tc>
        <w:tc>
          <w:tcPr/>
          <w:p>
            <w:pPr>
              <w:pStyle w:val="Compact"/>
              <w:jc w:val="left"/>
            </w:pPr>
            <w:r>
              <w:t xml:space="preserve">Total Amount (MYR)</w:t>
            </w:r>
          </w:p>
        </w:tc>
      </w:tr>
      <w:tr>
        <w:tc>
          <w:tcPr/>
          <w:p>
            <w:pPr>
              <w:pStyle w:val="Compact"/>
              <w:jc w:val="left"/>
            </w:pPr>
            <w:r>
              <w:t xml:space="preserve">1</w:t>
            </w:r>
          </w:p>
        </w:tc>
        <w:tc>
          <w:tcPr/>
          <w:p>
            <w:pPr>
              <w:pStyle w:val="Compact"/>
              <w:jc w:val="left"/>
            </w:pPr>
            <w:r>
              <w:t xml:space="preserve">Monthly preparation and filing of statutory financial statements in accordance with MFRS standards for the</w:t>
            </w:r>
            <w:r>
              <w:t xml:space="preserve"> </w:t>
            </w:r>
            <w:r>
              <w:t xml:space="preserve">Accountant</w:t>
            </w:r>
            <w:r>
              <w:t xml:space="preserve"> </w:t>
            </w:r>
            <w:r>
              <w:t xml:space="preserve">engagement at the Malaysia Kuala Lumpur office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Preparation and submission of corporate income tax returns (Form C) and personal income tax returns (Form B) for all directors and employees based in Malaysia Kuala Lumpur</w:t>
            </w:r>
          </w:p>
        </w:tc>
        <w:tc>
          <w:tcPr/>
          <w:p>
            <w:pPr>
              <w:pStyle w:val="Compact"/>
              <w:jc w:val="left"/>
            </w:pPr>
            <w:r>
              <w:t xml:space="preserve">Annually</w:t>
            </w:r>
          </w:p>
        </w:tc>
        <w:tc>
          <w:tcPr/>
          <w:p>
            <w:pPr>
              <w:pStyle w:val="Compact"/>
              <w:jc w:val="left"/>
            </w:pPr>
            <w:r>
              <w:t xml:space="preserve">1 year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Monthly payroll processing, EPF (KWSP), SOCSO, EIS, and PCB deductions for 45 employees located at the Malaysia Kuala Lumpur headquarters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Advisory services on GST/SST compliance, transfer pricing documentation, and cross-border tax planning for the Accountant engagement</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Annual audit support, management letter response, and coordination with external auditors for the Malaysia Kuala Lumpur entity</w:t>
            </w:r>
          </w:p>
        </w:tc>
        <w:tc>
          <w:tcPr/>
          <w:p>
            <w:pPr>
              <w:pStyle w:val="Compact"/>
              <w:jc w:val="left"/>
            </w:pPr>
            <w:r>
              <w:t xml:space="preserve">Annually</w:t>
            </w:r>
          </w:p>
        </w:tc>
        <w:tc>
          <w:tcPr/>
          <w:p>
            <w:pPr>
              <w:pStyle w:val="Compact"/>
              <w:jc w:val="left"/>
            </w:pPr>
            <w:r>
              <w:t xml:space="preserve">1 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On-site consultation and strategic financial planning sessions with the designated Accountant at the buyer's premises in Malaysia Kuala Lumpur (up to 8 hours per month)</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gridSpan w:val="5"/>
          </w:tcPr>
          <w:p>
            <w:pPr>
              <w:pStyle w:val="Compact"/>
              <w:jc w:val="right"/>
            </w:pPr>
            <w:r>
              <w:t xml:space="preserve">TOTAL CONTRACT VALUE (MYR)</w:t>
            </w:r>
          </w:p>
        </w:tc>
        <w:tc>
          <w:tcPr/>
          <w:p>
            <w:pPr>
              <w:pStyle w:val="Compact"/>
              <w:jc w:val="left"/>
            </w:pPr>
            <w:r>
              <w:t xml:space="preserve">166,500.00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Engagement:</w:t>
      </w:r>
      <w:r>
        <w:t xml:space="preserve"> </w:t>
      </w:r>
      <w:r>
        <w:t xml:space="preserve">The</w:t>
      </w:r>
      <w:r>
        <w:t xml:space="preserve"> </w:t>
      </w:r>
      <w:r>
        <w:t xml:space="preserve">Accountant</w:t>
      </w:r>
      <w:r>
        <w:t xml:space="preserve"> </w:t>
      </w:r>
      <w:r>
        <w:t xml:space="preserve">and the professional team assigned under this Purchase Order shall provide all financial, accounting, tax, and compliance services as described in the line items above. All work shall be performed in accordance with Malaysian financial reporting standards, the Companies Act 2016, and the Income Tax Act 1967 as applicable in Malaysia Kuala Lumpur.</w:t>
      </w:r>
    </w:p>
    <w:p>
      <w:pPr>
        <w:numPr>
          <w:ilvl w:val="0"/>
          <w:numId w:val="1001"/>
        </w:numPr>
        <w:pStyle w:val="Compact"/>
      </w:pPr>
      <w:r>
        <w:rPr>
          <w:bCs/>
          <w:b/>
        </w:rPr>
        <w:t xml:space="preserve">Place of Performance:</w:t>
      </w:r>
      <w:r>
        <w:t xml:space="preserve"> </w:t>
      </w:r>
      <w:r>
        <w:t xml:space="preserve">Services shall be rendered at the buyer's registered office located in Malaysia Kuala Lumpur, or at such other location within Malaysia Kuala Lumpur as mutually agreed in writing by both parties. Remote or hybrid work arrangements may be permitted subject to data security protocols.</w:t>
      </w:r>
    </w:p>
    <w:p>
      <w:pPr>
        <w:numPr>
          <w:ilvl w:val="0"/>
          <w:numId w:val="1001"/>
        </w:numPr>
        <w:pStyle w:val="Compact"/>
      </w:pPr>
      <w:r>
        <w:rPr>
          <w:bCs/>
          <w:b/>
        </w:rPr>
        <w:t xml:space="preserve">Payment Terms:</w:t>
      </w:r>
      <w:r>
        <w:t xml:space="preserve"> </w:t>
      </w:r>
      <w:r>
        <w:t xml:space="preserve">Payment shall be made within thirty (30) days from the date of receipt of a valid tax invoice issued by the supplier. All payments shall be made via bank transfer to the account specified above. The total value of this Purchase Order is MYR 166,500.00 (Ringgit Malaysia One Hundred Sixty-Six Thousand Five Hundred Only).</w:t>
      </w:r>
    </w:p>
    <w:p>
      <w:pPr>
        <w:numPr>
          <w:ilvl w:val="0"/>
          <w:numId w:val="1001"/>
        </w:numPr>
        <w:pStyle w:val="Compact"/>
      </w:pPr>
      <w:r>
        <w:rPr>
          <w:bCs/>
          <w:b/>
        </w:rPr>
        <w:t xml:space="preserve">Confidentiality:</w:t>
      </w:r>
      <w:r>
        <w:t xml:space="preserve"> </w:t>
      </w:r>
      <w:r>
        <w:t xml:space="preserve">The</w:t>
      </w:r>
      <w:r>
        <w:t xml:space="preserve"> </w:t>
      </w:r>
      <w:r>
        <w:t xml:space="preserve">Accountant</w:t>
      </w:r>
      <w:r>
        <w:t xml:space="preserve"> </w:t>
      </w:r>
      <w:r>
        <w:t xml:space="preserve">and all personnel engaged under this Purchase Order shall maintain strict confidentiality of all financial records, trade secrets, and proprietary information of Meridian Corporate Solutions Sdn. Bhd. This obligation shall survive the termination of this Purchase Order for a period of five (5) years.</w:t>
      </w:r>
    </w:p>
    <w:p>
      <w:pPr>
        <w:numPr>
          <w:ilvl w:val="0"/>
          <w:numId w:val="1001"/>
        </w:numPr>
        <w:pStyle w:val="Compact"/>
      </w:pPr>
      <w:r>
        <w:rPr>
          <w:bCs/>
          <w:b/>
        </w:rPr>
        <w:t xml:space="preserve">Compliance and Professional Standards:</w:t>
      </w:r>
      <w:r>
        <w:t xml:space="preserve"> </w:t>
      </w:r>
      <w:r>
        <w:t xml:space="preserve">The Accountant engaged under this Purchase Order must hold a valid practising certificate issued by the Malaysian Institute of Accountants (MIA) and must comply with the MIA Code of Ethics and Professional Conduct. All services must be performed in Malaysia Kuala Lumpur or in compliance with Malaysian regulatory requirements.</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Upon termination, the supplier shall deliver all completed work and financial records to the buyer within fourteen (14)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Malaysia. Any disputes arising from this Purchase Order shall be subject to the exclusive jurisdiction of the courts in Malaysia Kuala Lumpur.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regulations, or public health emergencies affecting operations in Malaysia Kuala Lumpur.</w:t>
      </w:r>
    </w:p>
    <w:p>
      <w:pPr>
        <w:numPr>
          <w:ilvl w:val="0"/>
          <w:numId w:val="1001"/>
        </w:numPr>
        <w:pStyle w:val="Compact"/>
      </w:pPr>
      <w:r>
        <w:rPr>
          <w:bCs/>
          <w:b/>
        </w:rPr>
        <w:t xml:space="preserve">Amendments:</w:t>
      </w:r>
      <w:r>
        <w:t xml:space="preserve"> </w:t>
      </w:r>
      <w:r>
        <w:t xml:space="preserve">No amendment or modification to this Purchase Order shall be valid unless made in writing and signed by authorized representatives of both parties.</w:t>
      </w:r>
    </w:p>
    <w:bookmarkEnd w:id="23"/>
    <w:p>
      <w:pPr>
        <w:pStyle w:val="FirstParagraph"/>
      </w:pPr>
      <w:r>
        <w:rPr>
          <w:bCs/>
          <w:b/>
        </w:rPr>
        <w:t xml:space="preserve">For and on behalf of the Buyer:</w:t>
      </w:r>
    </w:p>
    <w:p>
      <w:pPr>
        <w:pStyle w:val="BodyText"/>
      </w:pPr>
      <w:r>
        <w:t xml:space="preserve">Meridian Corporate Solutions Sdn. Bhd.</w:t>
      </w:r>
    </w:p>
    <w:p>
      <w:pPr>
        <w:pStyle w:val="BodyText"/>
      </w:pPr>
      <w:r>
        <w:rPr>
          <w:bCs/>
          <w:b/>
        </w:rPr>
        <w:t xml:space="preserve">Name:</w:t>
      </w:r>
      <w:r>
        <w:t xml:space="preserve"> </w:t>
      </w:r>
      <w:r>
        <w:t xml:space="preserve">Tan Wei Ming</w:t>
      </w:r>
      <w:r>
        <w:br/>
      </w:r>
      <w:r>
        <w:rPr>
          <w:bCs/>
          <w:b/>
        </w:rPr>
        <w:t xml:space="preserve">Designation:</w:t>
      </w:r>
      <w:r>
        <w:t xml:space="preserve"> </w:t>
      </w:r>
      <w:r>
        <w:t xml:space="preserve">Head of Finance &amp;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Tan &amp; Associates Chartered Accountants</w:t>
      </w:r>
    </w:p>
    <w:p>
      <w:pPr>
        <w:pStyle w:val="BodyText"/>
      </w:pPr>
      <w:r>
        <w:rPr>
          <w:bCs/>
          <w:b/>
        </w:rPr>
        <w:t xml:space="preserve">Name:</w:t>
      </w:r>
      <w:r>
        <w:t xml:space="preserve"> </w:t>
      </w:r>
      <w:r>
        <w:t xml:space="preserve">Nurul Aisyah binti Rahman</w:t>
      </w:r>
      <w:r>
        <w:br/>
      </w:r>
      <w:r>
        <w:rPr>
          <w:bCs/>
          <w:b/>
        </w:rPr>
        <w:t xml:space="preserve">Designation:</w:t>
      </w:r>
      <w:r>
        <w:t xml:space="preserve"> </w:t>
      </w:r>
      <w:r>
        <w:t xml:space="preserve">Senior Partner / Designated Accountant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(PO-2025-04782) is issued for the engagement of Accountant professional services in Malaysia Kuala Lumpur. This document constitutes a binding agreement upon signature by both parties. All references to Malaysia Kuala Lumpur pertain to the Federal Territory of Kuala Lumpur, Malaysia. This Purchase Order is valid for a period of thirty (30) days from the date of issue.</w:t>
      </w:r>
    </w:p>
    <w:p>
      <w:pPr>
        <w:pStyle w:val="BodyText"/>
      </w:pPr>
      <w:r>
        <w:t xml:space="preserve">Document Reference: MCS/PO/2025/04782 | Page 1 of 1 |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Malaysia Kuala Lumpur</dc:title>
  <dc:creator/>
  <dc:language>en</dc:language>
  <cp:keywords/>
  <dcterms:created xsi:type="dcterms:W3CDTF">2026-10-10T08:07:00Z</dcterms:created>
  <dcterms:modified xsi:type="dcterms:W3CDTF">2026-10-10T08:07:00Z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