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Professional Accountant Services Engagement</w:t>
      </w:r>
    </w:p>
    <w:p>
      <w:pPr>
        <w:pStyle w:val="BodyText"/>
      </w:pPr>
      <w:r>
        <w:t xml:space="preserve">Morocco Casablanca — Grand Casablanca Region</w:t>
      </w:r>
    </w:p>
    <w:p>
      <w:pPr>
        <w:pStyle w:val="BodyText"/>
      </w:pPr>
      <w:r>
        <w:t xml:space="preserve">PO No: MA-CAS-2025-00472</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Atlas Commerce &amp; Distribution SARL</w:t>
      </w:r>
    </w:p>
    <w:p>
      <w:pPr>
        <w:pStyle w:val="BodyText"/>
      </w:pPr>
      <w:r>
        <w:rPr>
          <w:bCs/>
          <w:b/>
        </w:rPr>
        <w:t xml:space="preserve">Address:</w:t>
      </w:r>
      <w:r>
        <w:t xml:space="preserve"> </w:t>
      </w:r>
      <w:r>
        <w:t xml:space="preserve">45 Boulevard Mohammed V, Quartier Gauthier, 20000 Casablanca, Morocco</w:t>
      </w:r>
    </w:p>
    <w:p>
      <w:pPr>
        <w:pStyle w:val="BodyText"/>
      </w:pPr>
      <w:r>
        <w:rPr>
          <w:bCs/>
          <w:b/>
        </w:rPr>
        <w:t xml:space="preserve">ICE:</w:t>
      </w:r>
      <w:r>
        <w:t xml:space="preserve"> </w:t>
      </w:r>
      <w:r>
        <w:t xml:space="preserve">002345678000045</w:t>
      </w:r>
    </w:p>
    <w:p>
      <w:pPr>
        <w:pStyle w:val="BodyText"/>
      </w:pPr>
      <w:r>
        <w:rPr>
          <w:bCs/>
          <w:b/>
        </w:rPr>
        <w:t xml:space="preserve">IF (Tax ID):</w:t>
      </w:r>
      <w:r>
        <w:t xml:space="preserve"> </w:t>
      </w:r>
      <w:r>
        <w:t xml:space="preserve">45678901</w:t>
      </w:r>
    </w:p>
    <w:p>
      <w:pPr>
        <w:pStyle w:val="BodyText"/>
      </w:pPr>
      <w:r>
        <w:rPr>
          <w:bCs/>
          <w:b/>
        </w:rPr>
        <w:t xml:space="preserve">Contact:</w:t>
      </w:r>
      <w:r>
        <w:t xml:space="preserve"> </w:t>
      </w:r>
      <w:r>
        <w:t xml:space="preserve">Mr. Youssef El Amrani, General Manager</w:t>
      </w:r>
    </w:p>
    <w:p>
      <w:pPr>
        <w:pStyle w:val="BodyText"/>
      </w:pPr>
      <w:r>
        <w:rPr>
          <w:bCs/>
          <w:b/>
        </w:rPr>
        <w:t xml:space="preserve">Email:</w:t>
      </w:r>
      <w:r>
        <w:t xml:space="preserve"> </w:t>
      </w:r>
      <w:r>
        <w:t xml:space="preserve">procurement@atlascas.ma</w:t>
      </w:r>
    </w:p>
    <w:p>
      <w:pPr>
        <w:pStyle w:val="BodyText"/>
      </w:pPr>
      <w:r>
        <w:rPr>
          <w:bCs/>
          <w:b/>
        </w:rPr>
        <w:t xml:space="preserve">Phone:</w:t>
      </w:r>
      <w:r>
        <w:t xml:space="preserve"> </w:t>
      </w:r>
      <w:r>
        <w:t xml:space="preserve">+212 522-345-678</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Cabinet Comptable Benali &amp; Associés</w:t>
      </w:r>
    </w:p>
    <w:p>
      <w:pPr>
        <w:pStyle w:val="BodyText"/>
      </w:pPr>
      <w:r>
        <w:rPr>
          <w:bCs/>
          <w:b/>
        </w:rPr>
        <w:t xml:space="preserve">Address:</w:t>
      </w:r>
      <w:r>
        <w:t xml:space="preserve"> </w:t>
      </w:r>
      <w:r>
        <w:t xml:space="preserve">12 Rue d'Anfa, Immeuble Al Manar, 3e étage, 20100 Casablanca, Morocco</w:t>
      </w:r>
    </w:p>
    <w:p>
      <w:pPr>
        <w:pStyle w:val="BodyText"/>
      </w:pPr>
      <w:r>
        <w:rPr>
          <w:bCs/>
          <w:b/>
        </w:rPr>
        <w:t xml:space="preserve">ICE:</w:t>
      </w:r>
      <w:r>
        <w:t xml:space="preserve"> </w:t>
      </w:r>
      <w:r>
        <w:t xml:space="preserve">003456789000078</w:t>
      </w:r>
    </w:p>
    <w:p>
      <w:pPr>
        <w:pStyle w:val="BodyText"/>
      </w:pPr>
      <w:r>
        <w:rPr>
          <w:bCs/>
          <w:b/>
        </w:rPr>
        <w:t xml:space="preserve">IF (Tax ID):</w:t>
      </w:r>
      <w:r>
        <w:t xml:space="preserve"> </w:t>
      </w:r>
      <w:r>
        <w:t xml:space="preserve">78901234</w:t>
      </w:r>
    </w:p>
    <w:p>
      <w:pPr>
        <w:pStyle w:val="BodyText"/>
      </w:pPr>
      <w:r>
        <w:rPr>
          <w:bCs/>
          <w:b/>
        </w:rPr>
        <w:t xml:space="preserve">Contact:</w:t>
      </w:r>
      <w:r>
        <w:t xml:space="preserve"> </w:t>
      </w:r>
      <w:r>
        <w:t xml:space="preserve">Mme. Fatima Benali, Lead Accountant &amp; CPA</w:t>
      </w:r>
    </w:p>
    <w:p>
      <w:pPr>
        <w:pStyle w:val="BodyText"/>
      </w:pPr>
      <w:r>
        <w:rPr>
          <w:bCs/>
          <w:b/>
        </w:rPr>
        <w:t xml:space="preserve">Email:</w:t>
      </w:r>
      <w:r>
        <w:t xml:space="preserve"> </w:t>
      </w:r>
      <w:r>
        <w:t xml:space="preserve">services@cabinetbenali.ma</w:t>
      </w:r>
    </w:p>
    <w:p>
      <w:pPr>
        <w:pStyle w:val="BodyText"/>
      </w:pPr>
      <w:r>
        <w:rPr>
          <w:bCs/>
          <w:b/>
        </w:rPr>
        <w:t xml:space="preserve">Phone:</w:t>
      </w:r>
      <w:r>
        <w:t xml:space="preserve"> </w:t>
      </w:r>
      <w:r>
        <w:t xml:space="preserve">+212 522-987-654</w:t>
      </w:r>
    </w:p>
    <w:bookmarkEnd w:id="22"/>
    <w:bookmarkStart w:id="23"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Delivery/Service Start Date:</w:t>
            </w:r>
          </w:p>
        </w:tc>
        <w:tc>
          <w:tcPr/>
          <w:p>
            <w:pPr>
              <w:pStyle w:val="Compact"/>
              <w:jc w:val="left"/>
            </w:pPr>
            <w:r>
              <w:t xml:space="preserve">01 July 2025</w:t>
            </w:r>
          </w:p>
        </w:tc>
      </w:tr>
      <w:tr>
        <w:tc>
          <w:tcPr/>
          <w:p>
            <w:pPr>
              <w:pStyle w:val="Compact"/>
              <w:jc w:val="left"/>
            </w:pPr>
            <w:r>
              <w:rPr>
                <w:bCs/>
                <w:b/>
              </w:rPr>
              <w:t xml:space="preserve">Service End Date:</w:t>
            </w:r>
          </w:p>
        </w:tc>
        <w:tc>
          <w:tcPr/>
          <w:p>
            <w:pPr>
              <w:pStyle w:val="Compact"/>
              <w:jc w:val="left"/>
            </w:pPr>
            <w:r>
              <w:t xml:space="preserve">31 December 2025</w:t>
            </w:r>
          </w:p>
        </w:tc>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Currency:</w:t>
            </w:r>
          </w:p>
        </w:tc>
        <w:tc>
          <w:tcPr/>
          <w:p>
            <w:pPr>
              <w:pStyle w:val="Compact"/>
              <w:jc w:val="left"/>
            </w:pPr>
            <w:r>
              <w:t xml:space="preserve">Moroccan Dirham (MAD)</w:t>
            </w:r>
          </w:p>
        </w:tc>
        <w:tc>
          <w:tcPr/>
          <w:p>
            <w:pPr>
              <w:pStyle w:val="Compact"/>
              <w:jc w:val="left"/>
            </w:pPr>
            <w:r>
              <w:rPr>
                <w:bCs/>
                <w:b/>
              </w:rPr>
              <w:t xml:space="preserve">Payment Method:</w:t>
            </w:r>
          </w:p>
        </w:tc>
        <w:tc>
          <w:tcPr/>
          <w:p>
            <w:pPr>
              <w:pStyle w:val="Compact"/>
              <w:jc w:val="left"/>
            </w:pPr>
            <w:r>
              <w:t xml:space="preserve">Bank Transfer (Virement Bancaire)</w:t>
            </w:r>
          </w:p>
        </w:tc>
      </w:tr>
      <w:tr>
        <w:tc>
          <w:tcPr/>
          <w:p>
            <w:pPr>
              <w:pStyle w:val="Compact"/>
              <w:jc w:val="left"/>
            </w:pPr>
            <w:r>
              <w:rPr>
                <w:bCs/>
                <w:b/>
              </w:rPr>
              <w:t xml:space="preserve">Bank:</w:t>
            </w:r>
          </w:p>
        </w:tc>
        <w:tc>
          <w:tcPr/>
          <w:p>
            <w:pPr>
              <w:pStyle w:val="Compact"/>
              <w:jc w:val="left"/>
            </w:pPr>
            <w:r>
              <w:t xml:space="preserve">Bank of Africa (BMCE), Casablanca</w:t>
            </w:r>
          </w:p>
        </w:tc>
        <w:tc>
          <w:tcPr/>
          <w:p>
            <w:pPr>
              <w:pStyle w:val="Compact"/>
              <w:jc w:val="left"/>
            </w:pPr>
            <w:r>
              <w:rPr>
                <w:bCs/>
                <w:b/>
              </w:rPr>
              <w:t xml:space="preserve">IBAN:</w:t>
            </w:r>
          </w:p>
        </w:tc>
        <w:tc>
          <w:tcPr/>
          <w:p>
            <w:pPr>
              <w:pStyle w:val="Compact"/>
              <w:jc w:val="left"/>
            </w:pPr>
            <w:r>
              <w:t xml:space="preserve">MA64 4002 1000 0123 4567 8901 2345</w:t>
            </w:r>
          </w:p>
        </w:tc>
      </w:tr>
    </w:tbl>
    <w:bookmarkEnd w:id="23"/>
    <w:bookmarkStart w:id="24" w:name="scope-of-accountant-services"/>
    <w:p>
      <w:pPr>
        <w:pStyle w:val="Heading2"/>
      </w:pPr>
      <w:r>
        <w:t xml:space="preserve">2. Scope of Accountant Services</w:t>
      </w:r>
    </w:p>
    <w:p>
      <w:pPr>
        <w:pStyle w:val="FirstParagraph"/>
      </w:pPr>
      <w:r>
        <w:t xml:space="preserve">This Purchase Order is issued by Atlas Commerce &amp; Distribution SARL, a registered commercial entity operating in the Grand Casablanca region of Morocco, to formally engage the professional services of Cabinet Comptable Benali &amp; Associés. The Accountant and their qualified team shall provide comprehensive accounting, financial reporting, and tax advisory services in full compliance with Moroccan commercial law, the Moroccan Tax Code (Code Général des Impôts), and the International Financial Reporting Standards (IFRS) as adopted in Morocco. The services described in this Purchase Order are specific to the operations conducted in Casablanca and its surrounding metropolitan area.</w:t>
      </w:r>
    </w:p>
    <w:bookmarkEnd w:id="24"/>
    <w:bookmarkStart w:id="25"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Unit Price (MAD)</w:t>
            </w:r>
          </w:p>
        </w:tc>
        <w:tc>
          <w:tcPr/>
          <w:p>
            <w:pPr>
              <w:pStyle w:val="Compact"/>
              <w:jc w:val="left"/>
            </w:pPr>
            <w:r>
              <w:t xml:space="preserve">Quantity</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Monthly bookkeeping and general ledger maintenance for all Casablanca-based operations</w:t>
            </w:r>
          </w:p>
        </w:tc>
        <w:tc>
          <w:tcPr/>
          <w:p>
            <w:pPr>
              <w:pStyle w:val="Compact"/>
              <w:jc w:val="left"/>
            </w:pPr>
            <w:r>
              <w:t xml:space="preserve">Monthly</w:t>
            </w:r>
          </w:p>
        </w:tc>
        <w:tc>
          <w:tcPr/>
          <w:p>
            <w:pPr>
              <w:pStyle w:val="Compact"/>
              <w:jc w:val="left"/>
            </w:pPr>
            <w:r>
              <w:t xml:space="preserve">8,500.00</w:t>
            </w:r>
          </w:p>
        </w:tc>
        <w:tc>
          <w:tcPr/>
          <w:p>
            <w:pPr>
              <w:pStyle w:val="Compact"/>
              <w:jc w:val="left"/>
            </w:pPr>
            <w:r>
              <w:t xml:space="preserve">6</w:t>
            </w:r>
          </w:p>
        </w:tc>
        <w:tc>
          <w:tcPr/>
          <w:p>
            <w:pPr>
              <w:pStyle w:val="Compact"/>
              <w:jc w:val="left"/>
            </w:pPr>
            <w:r>
              <w:t xml:space="preserve">51,000.00</w:t>
            </w:r>
          </w:p>
        </w:tc>
      </w:tr>
      <w:tr>
        <w:tc>
          <w:tcPr/>
          <w:p>
            <w:pPr>
              <w:pStyle w:val="Compact"/>
              <w:jc w:val="left"/>
            </w:pPr>
            <w:r>
              <w:t xml:space="preserve">02</w:t>
            </w:r>
          </w:p>
        </w:tc>
        <w:tc>
          <w:tcPr/>
          <w:p>
            <w:pPr>
              <w:pStyle w:val="Compact"/>
              <w:jc w:val="left"/>
            </w:pPr>
            <w:r>
              <w:t xml:space="preserve">Preparation and filing of monthly VAT (TVA) declarations with the Direction Régionale des Impôts, Casablanca</w:t>
            </w:r>
          </w:p>
        </w:tc>
        <w:tc>
          <w:tcPr/>
          <w:p>
            <w:pPr>
              <w:pStyle w:val="Compact"/>
              <w:jc w:val="left"/>
            </w:pPr>
            <w:r>
              <w:t xml:space="preserve">Monthly</w:t>
            </w:r>
          </w:p>
        </w:tc>
        <w:tc>
          <w:tcPr/>
          <w:p>
            <w:pPr>
              <w:pStyle w:val="Compact"/>
              <w:jc w:val="left"/>
            </w:pPr>
            <w:r>
              <w:t xml:space="preserve">3,200.00</w:t>
            </w:r>
          </w:p>
        </w:tc>
        <w:tc>
          <w:tcPr/>
          <w:p>
            <w:pPr>
              <w:pStyle w:val="Compact"/>
              <w:jc w:val="left"/>
            </w:pPr>
            <w:r>
              <w:t xml:space="preserve">6</w:t>
            </w:r>
          </w:p>
        </w:tc>
        <w:tc>
          <w:tcPr/>
          <w:p>
            <w:pPr>
              <w:pStyle w:val="Compact"/>
              <w:jc w:val="left"/>
            </w:pPr>
            <w:r>
              <w:t xml:space="preserve">19,200.00</w:t>
            </w:r>
          </w:p>
        </w:tc>
      </w:tr>
      <w:tr>
        <w:tc>
          <w:tcPr/>
          <w:p>
            <w:pPr>
              <w:pStyle w:val="Compact"/>
              <w:jc w:val="left"/>
            </w:pPr>
            <w:r>
              <w:t xml:space="preserve">03</w:t>
            </w:r>
          </w:p>
        </w:tc>
        <w:tc>
          <w:tcPr/>
          <w:p>
            <w:pPr>
              <w:pStyle w:val="Compact"/>
              <w:jc w:val="left"/>
            </w:pPr>
            <w:r>
              <w:t xml:space="preserve">Quarterly financial statements preparation (Balance Sheet, Income Statement, Cash Flow) per Moroccan accounting standards (PCG)</w:t>
            </w:r>
          </w:p>
        </w:tc>
        <w:tc>
          <w:tcPr/>
          <w:p>
            <w:pPr>
              <w:pStyle w:val="Compact"/>
              <w:jc w:val="left"/>
            </w:pPr>
            <w:r>
              <w:t xml:space="preserve">Quarterly</w:t>
            </w:r>
          </w:p>
        </w:tc>
        <w:tc>
          <w:tcPr/>
          <w:p>
            <w:pPr>
              <w:pStyle w:val="Compact"/>
              <w:jc w:val="left"/>
            </w:pPr>
            <w:r>
              <w:t xml:space="preserve">12,000.00</w:t>
            </w:r>
          </w:p>
        </w:tc>
        <w:tc>
          <w:tcPr/>
          <w:p>
            <w:pPr>
              <w:pStyle w:val="Compact"/>
              <w:jc w:val="left"/>
            </w:pPr>
            <w:r>
              <w:t xml:space="preserve">2</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Annual corporate income tax (IS) return preparation and submission to the tax authority in Casablanca</w:t>
            </w:r>
          </w:p>
        </w:tc>
        <w:tc>
          <w:tcPr/>
          <w:p>
            <w:pPr>
              <w:pStyle w:val="Compact"/>
              <w:jc w:val="left"/>
            </w:pPr>
            <w:r>
              <w:t xml:space="preserve">Annual</w:t>
            </w:r>
          </w:p>
        </w:tc>
        <w:tc>
          <w:tcPr/>
          <w:p>
            <w:pPr>
              <w:pStyle w:val="Compact"/>
              <w:jc w:val="left"/>
            </w:pPr>
            <w:r>
              <w:t xml:space="preserve">25,000.00</w:t>
            </w:r>
          </w:p>
        </w:tc>
        <w:tc>
          <w:tcPr/>
          <w:p>
            <w:pPr>
              <w:pStyle w:val="Compact"/>
              <w:jc w:val="left"/>
            </w:pPr>
            <w:r>
              <w:t xml:space="preserve">1</w:t>
            </w:r>
          </w:p>
        </w:tc>
        <w:tc>
          <w:tcPr/>
          <w:p>
            <w:pPr>
              <w:pStyle w:val="Compact"/>
              <w:jc w:val="left"/>
            </w:pPr>
            <w:r>
              <w:t xml:space="preserve">25,000.00</w:t>
            </w:r>
          </w:p>
        </w:tc>
      </w:tr>
      <w:tr>
        <w:tc>
          <w:tcPr/>
          <w:p>
            <w:pPr>
              <w:pStyle w:val="Compact"/>
              <w:jc w:val="left"/>
            </w:pPr>
            <w:r>
              <w:t xml:space="preserve">05</w:t>
            </w:r>
          </w:p>
        </w:tc>
        <w:tc>
          <w:tcPr/>
          <w:p>
            <w:pPr>
              <w:pStyle w:val="Compact"/>
              <w:jc w:val="left"/>
            </w:pPr>
            <w:r>
              <w:t xml:space="preserve">Payroll processing and social security (CNSS/AMO) declarations for 45 employees based in Casablanca</w:t>
            </w:r>
          </w:p>
        </w:tc>
        <w:tc>
          <w:tcPr/>
          <w:p>
            <w:pPr>
              <w:pStyle w:val="Compact"/>
              <w:jc w:val="left"/>
            </w:pPr>
            <w:r>
              <w:t xml:space="preserve">Monthly</w:t>
            </w:r>
          </w:p>
        </w:tc>
        <w:tc>
          <w:tcPr/>
          <w:p>
            <w:pPr>
              <w:pStyle w:val="Compact"/>
              <w:jc w:val="left"/>
            </w:pPr>
            <w:r>
              <w:t xml:space="preserve">6,800.00</w:t>
            </w:r>
          </w:p>
        </w:tc>
        <w:tc>
          <w:tcPr/>
          <w:p>
            <w:pPr>
              <w:pStyle w:val="Compact"/>
              <w:jc w:val="left"/>
            </w:pPr>
            <w:r>
              <w:t xml:space="preserve">6</w:t>
            </w:r>
          </w:p>
        </w:tc>
        <w:tc>
          <w:tcPr/>
          <w:p>
            <w:pPr>
              <w:pStyle w:val="Compact"/>
              <w:jc w:val="left"/>
            </w:pPr>
            <w:r>
              <w:t xml:space="preserve">40,800.00</w:t>
            </w:r>
          </w:p>
        </w:tc>
      </w:tr>
      <w:tr>
        <w:tc>
          <w:tcPr/>
          <w:p>
            <w:pPr>
              <w:pStyle w:val="Compact"/>
              <w:jc w:val="left"/>
            </w:pPr>
            <w:r>
              <w:t xml:space="preserve">06</w:t>
            </w:r>
          </w:p>
        </w:tc>
        <w:tc>
          <w:tcPr/>
          <w:p>
            <w:pPr>
              <w:pStyle w:val="Compact"/>
              <w:jc w:val="left"/>
            </w:pPr>
            <w:r>
              <w:t xml:space="preserve">Tax advisory and compliance consultation (minimum 4 hours per month) specific to Moroccan fiscal regulations</w:t>
            </w:r>
          </w:p>
        </w:tc>
        <w:tc>
          <w:tcPr/>
          <w:p>
            <w:pPr>
              <w:pStyle w:val="Compact"/>
              <w:jc w:val="left"/>
            </w:pPr>
            <w:r>
              <w:t xml:space="preserve">Monthly</w:t>
            </w:r>
          </w:p>
        </w:tc>
        <w:tc>
          <w:tcPr/>
          <w:p>
            <w:pPr>
              <w:pStyle w:val="Compact"/>
              <w:jc w:val="left"/>
            </w:pPr>
            <w:r>
              <w:t xml:space="preserve">4,500.00</w:t>
            </w:r>
          </w:p>
        </w:tc>
        <w:tc>
          <w:tcPr/>
          <w:p>
            <w:pPr>
              <w:pStyle w:val="Compact"/>
              <w:jc w:val="left"/>
            </w:pPr>
            <w:r>
              <w:t xml:space="preserve">6</w:t>
            </w:r>
          </w:p>
        </w:tc>
        <w:tc>
          <w:tcPr/>
          <w:p>
            <w:pPr>
              <w:pStyle w:val="Compact"/>
              <w:jc w:val="left"/>
            </w:pPr>
            <w:r>
              <w:t xml:space="preserve">27,000.00</w:t>
            </w:r>
          </w:p>
        </w:tc>
      </w:tr>
      <w:tr>
        <w:tc>
          <w:tcPr/>
          <w:p>
            <w:pPr>
              <w:pStyle w:val="Compact"/>
              <w:jc w:val="left"/>
            </w:pPr>
            <w:r>
              <w:t xml:space="preserve">07</w:t>
            </w:r>
          </w:p>
        </w:tc>
        <w:tc>
          <w:tcPr/>
          <w:p>
            <w:pPr>
              <w:pStyle w:val="Compact"/>
              <w:jc w:val="left"/>
            </w:pPr>
            <w:r>
              <w:t xml:space="preserve">Reconciliation of bank accounts (Bank of Africa, Attijariwafa Bank) and supplier/ debtor accounts in Casablanca</w:t>
            </w:r>
          </w:p>
        </w:tc>
        <w:tc>
          <w:tcPr/>
          <w:p>
            <w:pPr>
              <w:pStyle w:val="Compact"/>
              <w:jc w:val="left"/>
            </w:pPr>
            <w:r>
              <w:t xml:space="preserve">Monthly</w:t>
            </w:r>
          </w:p>
        </w:tc>
        <w:tc>
          <w:tcPr/>
          <w:p>
            <w:pPr>
              <w:pStyle w:val="Compact"/>
              <w:jc w:val="left"/>
            </w:pPr>
            <w:r>
              <w:t xml:space="preserve">2,800.00</w:t>
            </w:r>
          </w:p>
        </w:tc>
        <w:tc>
          <w:tcPr/>
          <w:p>
            <w:pPr>
              <w:pStyle w:val="Compact"/>
              <w:jc w:val="left"/>
            </w:pPr>
            <w:r>
              <w:t xml:space="preserve">6</w:t>
            </w:r>
          </w:p>
        </w:tc>
        <w:tc>
          <w:tcPr/>
          <w:p>
            <w:pPr>
              <w:pStyle w:val="Compact"/>
              <w:jc w:val="left"/>
            </w:pPr>
            <w:r>
              <w:t xml:space="preserve">16,800.00</w:t>
            </w:r>
          </w:p>
        </w:tc>
      </w:tr>
      <w:tr>
        <w:tc>
          <w:tcPr>
            <w:gridSpan w:val="5"/>
          </w:tcPr>
          <w:p>
            <w:pPr>
              <w:pStyle w:val="Compact"/>
              <w:jc w:val="right"/>
            </w:pPr>
            <w:r>
              <w:t xml:space="preserve">SUBTOTAL (excl. TVA 20%)</w:t>
            </w:r>
          </w:p>
        </w:tc>
        <w:tc>
          <w:tcPr/>
          <w:p>
            <w:pPr>
              <w:pStyle w:val="Compact"/>
              <w:jc w:val="left"/>
            </w:pPr>
            <w:r>
              <w:t xml:space="preserve">203,800.00</w:t>
            </w:r>
          </w:p>
        </w:tc>
      </w:tr>
      <w:tr>
        <w:tc>
          <w:tcPr>
            <w:gridSpan w:val="5"/>
          </w:tcPr>
          <w:p>
            <w:pPr>
              <w:pStyle w:val="Compact"/>
              <w:jc w:val="right"/>
            </w:pPr>
            <w:r>
              <w:t xml:space="preserve">TVA (20%)</w:t>
            </w:r>
          </w:p>
        </w:tc>
        <w:tc>
          <w:tcPr/>
          <w:p>
            <w:pPr>
              <w:pStyle w:val="Compact"/>
              <w:jc w:val="left"/>
            </w:pPr>
            <w:r>
              <w:t xml:space="preserve">40,760.00</w:t>
            </w:r>
          </w:p>
        </w:tc>
      </w:tr>
      <w:tr>
        <w:tc>
          <w:tcPr>
            <w:gridSpan w:val="5"/>
          </w:tcPr>
          <w:p>
            <w:pPr>
              <w:pStyle w:val="Compact"/>
              <w:jc w:val="right"/>
            </w:pPr>
            <w:r>
              <w:t xml:space="preserve">GRAND TOTAL (MAD)</w:t>
            </w:r>
          </w:p>
        </w:tc>
        <w:tc>
          <w:tcPr/>
          <w:p>
            <w:pPr>
              <w:pStyle w:val="Compact"/>
              <w:jc w:val="left"/>
            </w:pPr>
            <w:r>
              <w:t xml:space="preserve">244,560.00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Morocco, including the Moroccan Commercial Code and the Moroccan Tax Code. Any disputes arising from this Purchase Order regarding the Accountant services shall be subject to the exclusive jurisdiction of the Commercial Court of Casablanca.</w:t>
      </w:r>
    </w:p>
    <w:p>
      <w:pPr>
        <w:numPr>
          <w:ilvl w:val="0"/>
          <w:numId w:val="1001"/>
        </w:numPr>
        <w:pStyle w:val="Compact"/>
      </w:pPr>
      <w:r>
        <w:rPr>
          <w:bCs/>
          <w:b/>
        </w:rPr>
        <w:t xml:space="preserve">Service Location:</w:t>
      </w:r>
      <w:r>
        <w:t xml:space="preserve"> </w:t>
      </w:r>
      <w:r>
        <w:t xml:space="preserve">All Accountant services under this Purchase Order shall be performed at the offices of Cabinet Comptable Benali &amp; Associés located in Casablanca, Morocco, or at the premises of Atlas Commerce &amp; Distribution SARL in Quartier Gauthier, Casablanca, as mutually agreed upon.</w:t>
      </w:r>
    </w:p>
    <w:p>
      <w:pPr>
        <w:numPr>
          <w:ilvl w:val="0"/>
          <w:numId w:val="1001"/>
        </w:numPr>
        <w:pStyle w:val="Compact"/>
      </w:pPr>
      <w:r>
        <w:rPr>
          <w:bCs/>
          <w:b/>
        </w:rPr>
        <w:t xml:space="preserve">Confidentiality:</w:t>
      </w:r>
      <w:r>
        <w:t xml:space="preserve"> </w:t>
      </w:r>
      <w:r>
        <w:t xml:space="preserve">The Accountant and all personnel of the service provider shall maintain strict confidentiality over all financial records, tax filings, and business information of the purchasing entity. This obligation shall survive the termination of this Purchase Order for a period of five (5) years.</w:t>
      </w:r>
    </w:p>
    <w:p>
      <w:pPr>
        <w:numPr>
          <w:ilvl w:val="0"/>
          <w:numId w:val="1001"/>
        </w:numPr>
        <w:pStyle w:val="Compact"/>
      </w:pPr>
      <w:r>
        <w:rPr>
          <w:bCs/>
          <w:b/>
        </w:rPr>
        <w:t xml:space="preserve">Compliance:</w:t>
      </w:r>
      <w:r>
        <w:t xml:space="preserve"> </w:t>
      </w:r>
      <w:r>
        <w:t xml:space="preserve">The Accountant shall ensure that all filings, declarations, and reports comply with the regulations of the Direction Générale des Impôts (DGI), the Caisse Nationale de Sécurité Sociale (CNSS), and the Agence du Registre de Commerce et du Dépôt Légal (Casablanca) as applicable in Morocco.</w:t>
      </w:r>
    </w:p>
    <w:p>
      <w:pPr>
        <w:numPr>
          <w:ilvl w:val="0"/>
          <w:numId w:val="1001"/>
        </w:numPr>
        <w:pStyle w:val="Compact"/>
      </w:pPr>
      <w:r>
        <w:rPr>
          <w:bCs/>
          <w:b/>
        </w:rPr>
        <w:t xml:space="preserve">Payment Schedule:</w:t>
      </w:r>
      <w:r>
        <w:t xml:space="preserve"> </w:t>
      </w:r>
      <w:r>
        <w:t xml:space="preserve">Invoices shall be issued monthly within five (5) business days of the end of each service period. Payment shall be made via bank transfer to the IBAN specified above within thirty (30) days of the invoice date. Late payments shall incur a penalty of 1.5% per month as per Moroccan commercial law.</w:t>
      </w:r>
    </w:p>
    <w:p>
      <w:pPr>
        <w:numPr>
          <w:ilvl w:val="0"/>
          <w:numId w:val="1001"/>
        </w:numPr>
        <w:pStyle w:val="Compact"/>
      </w:pPr>
      <w:r>
        <w:rPr>
          <w:bCs/>
          <w:b/>
        </w:rPr>
        <w:t xml:space="preserve">Termination:</w:t>
      </w:r>
      <w:r>
        <w:t xml:space="preserve"> </w:t>
      </w:r>
      <w:r>
        <w:t xml:space="preserve">Either party may terminate this Purchase Order with a written notice of sixty (60) days. Upon termination, the Accountant shall deliver all completed work, records, and files to the purchasing entity within fifteen (15) days.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civil unrest affecting Casablanca or the broader Moroccan territory.</w:t>
      </w:r>
    </w:p>
    <w:p>
      <w:pPr>
        <w:numPr>
          <w:ilvl w:val="0"/>
          <w:numId w:val="1001"/>
        </w:numPr>
        <w:pStyle w:val="Compact"/>
      </w:pPr>
      <w:r>
        <w:rPr>
          <w:bCs/>
          <w:b/>
        </w:rPr>
        <w:t xml:space="preserve">Quality Assurance:</w:t>
      </w:r>
      <w:r>
        <w:t xml:space="preserve"> </w:t>
      </w:r>
      <w:r>
        <w:t xml:space="preserve">The Accountant shall provide a written summary of all actions taken, filings made, and recommendations issued on a monthly basis. The purchasing entity reserves the right to request corrections or rework at no additional cost if errors are identified within the statutory filing deadlines in Morocco.</w:t>
      </w:r>
    </w:p>
    <w:p>
      <w:pPr>
        <w:numPr>
          <w:ilvl w:val="0"/>
          <w:numId w:val="1001"/>
        </w:numPr>
        <w:pStyle w:val="Compact"/>
      </w:pPr>
      <w:r>
        <w:rPr>
          <w:bCs/>
          <w:b/>
        </w:rPr>
        <w:t xml:space="preserve">Insurance:</w:t>
      </w:r>
      <w:r>
        <w:t xml:space="preserve"> </w:t>
      </w:r>
      <w:r>
        <w:t xml:space="preserve">The Accountant service provider shall maintain professional indemnity insurance with a minimum coverage of 500,000 MAD, valid throughout the duration of this Purchase Order, as required for accounting professionals registered with the Ordre des Experts-Comptables du Maroc.</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the terms, conditions, and scope of services outlined in this Purchase Order for Accountant services in Morocco Casablanca. This document constitutes a binding agreement between the purchasing entity and the Accountant service provider for the duration specified herein.</w:t>
      </w:r>
    </w:p>
    <w:bookmarkEnd w:id="27"/>
    <w:p>
      <w:pPr>
        <w:pStyle w:val="BodyText"/>
      </w:pPr>
      <w:r>
        <w:rPr>
          <w:bCs/>
          <w:b/>
        </w:rPr>
        <w:t xml:space="preserve">For the Purchasing Entity</w:t>
      </w:r>
    </w:p>
    <w:p>
      <w:pPr>
        <w:pStyle w:val="BodyText"/>
      </w:pPr>
      <w:r>
        <w:t xml:space="preserve">Atlas Commerce &amp; Distribution SARL</w:t>
      </w:r>
    </w:p>
    <w:p>
      <w:pPr>
        <w:pStyle w:val="BodyText"/>
      </w:pPr>
      <w:r>
        <w:t xml:space="preserve">Mr. Youssef El Amrani</w:t>
      </w:r>
    </w:p>
    <w:p>
      <w:pPr>
        <w:pStyle w:val="BodyText"/>
      </w:pPr>
      <w:r>
        <w:t xml:space="preserve">General Manager</w:t>
      </w:r>
    </w:p>
    <w:p>
      <w:pPr>
        <w:pStyle w:val="BodyText"/>
      </w:pPr>
      <w:r>
        <w:t xml:space="preserve">Date: _______________</w:t>
      </w:r>
    </w:p>
    <w:p>
      <w:pPr>
        <w:pStyle w:val="BodyText"/>
      </w:pPr>
      <w:r>
        <w:t xml:space="preserve">Signature &amp; Company Stamp:</w:t>
      </w:r>
    </w:p>
    <w:p>
      <w:pPr>
        <w:pStyle w:val="BodyText"/>
      </w:pPr>
      <w:r>
        <w:rPr>
          <w:bCs/>
          <w:b/>
        </w:rPr>
        <w:t xml:space="preserve">For the Accountant Service Provider</w:t>
      </w:r>
    </w:p>
    <w:p>
      <w:pPr>
        <w:pStyle w:val="BodyText"/>
      </w:pPr>
      <w:r>
        <w:t xml:space="preserve">Cabinet Comptable Benali &amp; Associés</w:t>
      </w:r>
    </w:p>
    <w:p>
      <w:pPr>
        <w:pStyle w:val="BodyText"/>
      </w:pPr>
      <w:r>
        <w:t xml:space="preserve">Mme. Fatima Benali</w:t>
      </w:r>
    </w:p>
    <w:p>
      <w:pPr>
        <w:pStyle w:val="BodyText"/>
      </w:pPr>
      <w:r>
        <w:t xml:space="preserve">Lead Accountant &amp; CPA</w:t>
      </w:r>
    </w:p>
    <w:p>
      <w:pPr>
        <w:pStyle w:val="BodyText"/>
      </w:pPr>
      <w:r>
        <w:t xml:space="preserve">Date: _______________</w:t>
      </w:r>
    </w:p>
    <w:p>
      <w:pPr>
        <w:pStyle w:val="BodyText"/>
      </w:pPr>
      <w:r>
        <w:t xml:space="preserve">Signature &amp; Company Stamp:</w:t>
      </w:r>
    </w:p>
    <w:p>
      <w:pPr>
        <w:pStyle w:val="BodyText"/>
      </w:pPr>
      <w:r>
        <w:t xml:space="preserve">This Purchase Order (PO No: MA-CAS-2025-00472) was prepared and issued in Casablanca, Morocco. It is valid for a period of ninety (90) days from the date of issue. All communications regarding this Purchase Order shall be directed to the contacts listed above. This document is subject to Moroccan commercial and tax regulations. © 2025 Atlas Commerce &amp; Distribution SARL, Casablanca, Morocco.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Morocco Casablanca</dc:title>
  <dc:creator/>
  <dc:language>en</dc:language>
  <cp:keywords/>
  <dcterms:created xsi:type="dcterms:W3CDTF">2026-10-10T09:14:17Z</dcterms:created>
  <dcterms:modified xsi:type="dcterms:W3CDTF">2026-10-10T09:14:17Z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