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PO-2025-RYD-0472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30 June 2025</w:t>
      </w:r>
    </w:p>
    <w:p>
      <w:pPr>
        <w:pStyle w:val="BodyText"/>
      </w:pPr>
      <w:r>
        <w:rPr>
          <w:bCs/>
          <w:b/>
        </w:rPr>
        <w:t xml:space="preserve">Issuing Entity:</w:t>
      </w:r>
      <w:r>
        <w:t xml:space="preserve"> </w:t>
      </w:r>
      <w:r>
        <w:t xml:space="preserve">Al-Riyadh Corporate Services LLC</w:t>
      </w:r>
    </w:p>
    <w:p>
      <w:pPr>
        <w:pStyle w:val="BodyText"/>
      </w:pPr>
      <w:r>
        <w:rPr>
          <w:bCs/>
          <w:b/>
        </w:rPr>
        <w:t xml:space="preserve">Address:</w:t>
      </w:r>
      <w:r>
        <w:t xml:space="preserve"> </w:t>
      </w:r>
      <w:r>
        <w:t xml:space="preserve">King Fahd Road, Al Olaya District, Riyadh,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310XXXXXXX00003</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Al-Madina Professional Accounting &amp; Advisory FZE</w:t>
            </w:r>
          </w:p>
        </w:tc>
      </w:tr>
      <w:tr>
        <w:tc>
          <w:tcPr/>
          <w:p>
            <w:pPr>
              <w:pStyle w:val="Compact"/>
              <w:jc w:val="left"/>
            </w:pPr>
            <w:r>
              <w:t xml:space="preserve">Address</w:t>
            </w:r>
          </w:p>
        </w:tc>
        <w:tc>
          <w:tcPr/>
          <w:p>
            <w:pPr>
              <w:pStyle w:val="Compact"/>
              <w:jc w:val="left"/>
            </w:pPr>
            <w:r>
              <w:t xml:space="preserve">Prince Sultan Road, Al Malqa District, Riyadh, Saudi Arabia</w:t>
            </w:r>
          </w:p>
        </w:tc>
      </w:tr>
      <w:tr>
        <w:tc>
          <w:tcPr/>
          <w:p>
            <w:pPr>
              <w:pStyle w:val="Compact"/>
              <w:jc w:val="left"/>
            </w:pPr>
            <w:r>
              <w:t xml:space="preserve">CR No.</w:t>
            </w:r>
          </w:p>
        </w:tc>
        <w:tc>
          <w:tcPr/>
          <w:p>
            <w:pPr>
              <w:pStyle w:val="Compact"/>
              <w:jc w:val="left"/>
            </w:pPr>
            <w:r>
              <w:t xml:space="preserve">1010YYYYYY</w:t>
            </w:r>
          </w:p>
        </w:tc>
      </w:tr>
      <w:tr>
        <w:tc>
          <w:tcPr/>
          <w:p>
            <w:pPr>
              <w:pStyle w:val="Compact"/>
              <w:jc w:val="left"/>
            </w:pPr>
            <w:r>
              <w:t xml:space="preserve">VAT No.</w:t>
            </w:r>
          </w:p>
        </w:tc>
        <w:tc>
          <w:tcPr/>
          <w:p>
            <w:pPr>
              <w:pStyle w:val="Compact"/>
              <w:jc w:val="left"/>
            </w:pPr>
            <w:r>
              <w:t xml:space="preserve">310YYYYYYY00003</w:t>
            </w:r>
          </w:p>
        </w:tc>
      </w:tr>
      <w:tr>
        <w:tc>
          <w:tcPr/>
          <w:p>
            <w:pPr>
              <w:pStyle w:val="Compact"/>
              <w:jc w:val="left"/>
            </w:pPr>
            <w:r>
              <w:t xml:space="preserve">Contact Person</w:t>
            </w:r>
          </w:p>
        </w:tc>
        <w:tc>
          <w:tcPr/>
          <w:p>
            <w:pPr>
              <w:pStyle w:val="Compact"/>
              <w:jc w:val="left"/>
            </w:pPr>
            <w:r>
              <w:t xml:space="preserve">Mr. Khalid Al-Otaibi, Director of Client Services</w:t>
            </w:r>
          </w:p>
        </w:tc>
      </w:tr>
      <w:tr>
        <w:tc>
          <w:tcPr/>
          <w:p>
            <w:pPr>
              <w:pStyle w:val="Compact"/>
              <w:jc w:val="left"/>
            </w:pPr>
            <w:r>
              <w:t xml:space="preserve">Email</w:t>
            </w:r>
          </w:p>
        </w:tc>
        <w:tc>
          <w:tcPr/>
          <w:p>
            <w:pPr>
              <w:pStyle w:val="Compact"/>
              <w:jc w:val="left"/>
            </w:pPr>
            <w:r>
              <w:t xml:space="preserve">procurement@almadina-accounting.sa</w:t>
            </w:r>
          </w:p>
        </w:tc>
      </w:tr>
      <w:tr>
        <w:tc>
          <w:tcPr/>
          <w:p>
            <w:pPr>
              <w:pStyle w:val="Compact"/>
              <w:jc w:val="left"/>
            </w:pPr>
            <w:r>
              <w:t xml:space="preserve">Phone</w:t>
            </w:r>
          </w:p>
        </w:tc>
        <w:tc>
          <w:tcPr/>
          <w:p>
            <w:pPr>
              <w:pStyle w:val="Compact"/>
              <w:jc w:val="left"/>
            </w:pPr>
            <w:r>
              <w:t xml:space="preserve">+966 11 456 7890</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Al-Riyadh Corporate Services LLC (hereinafter referred to as the "Buyer") to Al-Madina Professional Accounting &amp; Advisory FZE (hereinafter referred to as the "Supplier") for the procurement of a qualified</w:t>
      </w:r>
      <w:r>
        <w:t xml:space="preserve"> </w:t>
      </w:r>
      <w:r>
        <w:rPr>
          <w:bCs/>
          <w:b/>
        </w:rPr>
        <w:t xml:space="preserve">Accountant</w:t>
      </w:r>
      <w:r>
        <w:t xml:space="preserve"> </w:t>
      </w:r>
      <w:r>
        <w:t xml:space="preserve">to provide full-cycle accounting, financial reporting, and statutory compliance services. The services under this Purchase Order shall be rendered at the Buyer's principal office located in</w:t>
      </w:r>
      <w:r>
        <w:t xml:space="preserve"> </w:t>
      </w:r>
      <w:r>
        <w:rPr>
          <w:bCs/>
          <w:b/>
        </w:rPr>
        <w:t xml:space="preserve">Saudi Arabia Riyadh</w:t>
      </w:r>
      <w:r>
        <w:t xml:space="preserve">, specifically at King Fahd Road, Al Olaya District. The engagement of the</w:t>
      </w:r>
      <w:r>
        <w:t xml:space="preserve"> </w:t>
      </w:r>
      <w:r>
        <w:rPr>
          <w:bCs/>
          <w:b/>
        </w:rPr>
        <w:t xml:space="preserve">Accountant</w:t>
      </w:r>
      <w:r>
        <w:t xml:space="preserve"> </w:t>
      </w:r>
      <w:r>
        <w:t xml:space="preserve">is intended to support the Buyer's ongoing financial operations, annual audit preparation, ZATCA (Zakat, Tax and Customs Authority) filings, and monthly management reporting in full compliance with the Saudi Arabian Financial Reporting Standards (SAFAS) and the International Financial Reporting Standards (IFRS) as adopted in the Kingdom.</w:t>
      </w:r>
    </w:p>
    <w:bookmarkEnd w:id="21"/>
    <w:bookmarkStart w:id="22" w:name="line-items-scope-of-services"/>
    <w:p>
      <w:pPr>
        <w:pStyle w:val="Heading2"/>
      </w:pPr>
      <w:r>
        <w:t xml:space="preserve">3. 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Engagement of a certified Accountant (CPA / ACCA qualified) for full-cycle bookkeeping, journal entries, and general ledger maintenance at the Saudi Arabia Riyadh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Monthly financial statement preparation (Balance Sheet, Income Statement, Cash Flow) in accordance with SAFAS and IFRS, delivered to the Saudi Arabia Riyadh 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Quarterly VAT return preparation and electronic filing with ZATCA on behalf of the Buyer, including reconciliation of input and output tax</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Annual Zakat calculation, reconciliation, and filing support in coordination with the Ministry of Finance, Saudi Arabia Riyadh</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Year-end audit preparation, working paper compilation, and liaison with the external statutory auditor for the fiscal year ending 31 December 2025</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Payroll processing, social insurance (GOSI) reconciliation, and WPS (Wage Protection System) compliance reporting for all employees based in Saudi Arabia Riyadh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5,600.00</w:t>
            </w:r>
          </w:p>
        </w:tc>
        <w:tc>
          <w:tcPr/>
          <w:p>
            <w:pPr>
              <w:pStyle w:val="Compact"/>
              <w:jc w:val="left"/>
            </w:pPr>
            <w:r>
              <w:t xml:space="preserve">67,200.00</w:t>
            </w:r>
          </w:p>
        </w:tc>
      </w:tr>
      <w:tr>
        <w:tc>
          <w:tcPr/>
          <w:p>
            <w:pPr>
              <w:pStyle w:val="Compact"/>
              <w:jc w:val="left"/>
            </w:pPr>
            <w:r>
              <w:t xml:space="preserve">07</w:t>
            </w:r>
          </w:p>
        </w:tc>
        <w:tc>
          <w:tcPr/>
          <w:p>
            <w:pPr>
              <w:pStyle w:val="Compact"/>
              <w:jc w:val="left"/>
            </w:pPr>
            <w:r>
              <w:t xml:space="preserve">Ad-hoc financial advisory, budget variance analysis, and management dashboards as required by the CFO, Saudi Arabia Riyadh</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w:t>
            </w:r>
          </w:p>
        </w:tc>
        <w:tc>
          <w:tcPr/>
          <w:p>
            <w:pPr>
              <w:pStyle w:val="Compact"/>
              <w:jc w:val="left"/>
            </w:pPr>
            <w:r>
              <w:t xml:space="preserve">18,000.00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(SAR)</w:t>
            </w:r>
          </w:p>
        </w:tc>
      </w:tr>
      <w:tr>
        <w:tc>
          <w:tcPr/>
          <w:p>
            <w:pPr>
              <w:pStyle w:val="Compact"/>
              <w:jc w:val="left"/>
            </w:pPr>
            <w:r>
              <w:t xml:space="preserve">Subtotal (Items 01 – 07)</w:t>
            </w:r>
          </w:p>
        </w:tc>
        <w:tc>
          <w:tcPr/>
          <w:p>
            <w:pPr>
              <w:pStyle w:val="Compact"/>
              <w:jc w:val="left"/>
            </w:pPr>
            <w:r>
              <w:t xml:space="preserve">407,300.00</w:t>
            </w:r>
          </w:p>
        </w:tc>
      </w:tr>
      <w:tr>
        <w:tc>
          <w:tcPr/>
          <w:p>
            <w:pPr>
              <w:pStyle w:val="Compact"/>
              <w:jc w:val="left"/>
            </w:pPr>
            <w:r>
              <w:t xml:space="preserve">VAT @ 15% (as per Saudi Arabia tax regulations)</w:t>
            </w:r>
          </w:p>
        </w:tc>
        <w:tc>
          <w:tcPr/>
          <w:p>
            <w:pPr>
              <w:pStyle w:val="Compact"/>
              <w:jc w:val="left"/>
            </w:pPr>
            <w:r>
              <w:t xml:space="preserve">61,095.00</w:t>
            </w:r>
          </w:p>
        </w:tc>
      </w:tr>
      <w:tr>
        <w:tc>
          <w:tcPr/>
          <w:p>
            <w:pPr>
              <w:pStyle w:val="Compact"/>
              <w:jc w:val="left"/>
            </w:pPr>
            <w:r>
              <w:t xml:space="preserve">Grand Total (SAR)</w:t>
            </w:r>
          </w:p>
        </w:tc>
        <w:tc>
          <w:tcPr/>
          <w:p>
            <w:pPr>
              <w:pStyle w:val="Compact"/>
              <w:jc w:val="left"/>
            </w:pPr>
            <w:r>
              <w:t xml:space="preserve">468,395.00</w:t>
            </w:r>
          </w:p>
        </w:tc>
      </w:tr>
    </w:tbl>
    <w:bookmarkEnd w:id="23"/>
    <w:bookmarkStart w:id="24" w:name="payment-terms"/>
    <w:p>
      <w:pPr>
        <w:pStyle w:val="Heading2"/>
      </w:pPr>
      <w:r>
        <w:t xml:space="preserve">5. Payment Terms</w:t>
      </w:r>
    </w:p>
    <w:p>
      <w:pPr>
        <w:pStyle w:val="FirstParagraph"/>
      </w:pPr>
      <w:r>
        <w:t xml:space="preserve">Payment for the services outlined in this Purchase Order shall be made in monthly installments. The Buyer shall remit payment within thirty (30) calendar days from the date of receipt of a valid tax invoice issued by the Supplier. Payments shall be processed via bank transfer to the Supplier's designated account at Al Rajhi Bank, Riyadh Branch, Saudi Arabia. The Supplier is required to issue a VAT-compliant invoice in Arabic and English for each billing cycle. Late payments shall attract a penalty of 1.5% per month in accordance with the Saudi Arabian Commercial Transactions Law.</w:t>
      </w:r>
    </w:p>
    <w:bookmarkEnd w:id="24"/>
    <w:bookmarkStart w:id="25" w:name="terms-and-conditions"/>
    <w:p>
      <w:pPr>
        <w:pStyle w:val="Heading2"/>
      </w:pPr>
      <w:r>
        <w:t xml:space="preserve">6. Terms and Conditions</w:t>
      </w:r>
    </w:p>
    <w:p>
      <w:pPr>
        <w:pStyle w:val="FirstParagraph"/>
      </w:pPr>
      <w:r>
        <w:t xml:space="preserve">6.1 The</w:t>
      </w:r>
      <w:r>
        <w:t xml:space="preserve"> </w:t>
      </w:r>
      <w:r>
        <w:rPr>
          <w:bCs/>
          <w:b/>
        </w:rPr>
        <w:t xml:space="preserve">Accountant</w:t>
      </w:r>
      <w:r>
        <w:t xml:space="preserve"> </w:t>
      </w:r>
      <w:r>
        <w:t xml:space="preserve">engaged under this Purchase Order shall hold a valid professional license issued by the Saudi Organization for Chartered and Professional Accountants (SOCPA) and shall maintain professional indemnity insurance with a minimum coverage of SAR 1,000,000.</w:t>
      </w:r>
    </w:p>
    <w:p>
      <w:pPr>
        <w:pStyle w:val="BodyText"/>
      </w:pPr>
      <w:r>
        <w:t xml:space="preserve">6.2 All services shall be performed at the Buyer's premises in</w:t>
      </w:r>
      <w:r>
        <w:t xml:space="preserve"> </w:t>
      </w:r>
      <w:r>
        <w:rPr>
          <w:bCs/>
          <w:b/>
        </w:rPr>
        <w:t xml:space="preserve">Saudi Arabia Riyadh</w:t>
      </w:r>
      <w:r>
        <w:t xml:space="preserve"> </w:t>
      </w:r>
      <w:r>
        <w:t xml:space="preserve">or remotely as mutually agreed. The Accountant shall comply with all data protection and confidentiality obligations under the Saudi Personal Data Protection Law (PDPL).</w:t>
      </w:r>
    </w:p>
    <w:p>
      <w:pPr>
        <w:pStyle w:val="BodyText"/>
      </w:pPr>
      <w:r>
        <w:t xml:space="preserve">6.3 The Supplier warrants that the Accountant shall not be engaged in any conflicting interest or concurrent engagement with a direct competitor of the Buyer within the Riyadh metropolitan area without prior written consent.</w:t>
      </w:r>
    </w:p>
    <w:p>
      <w:pPr>
        <w:pStyle w:val="BodyText"/>
      </w:pPr>
      <w:r>
        <w:t xml:space="preserve">6.4 This Purchase Order is governed by the laws of the Kingdom of Saudi Arabia. Any disputes arising from the interpretation or execution of this Purchase Order shall be subject to the exclusive jurisdiction of the competent courts in Riyadh, Saudi Arabia, or alternatively resolved through the Saudi Center for Commercial Arbitration (SCCA).</w:t>
      </w:r>
    </w:p>
    <w:p>
      <w:pPr>
        <w:pStyle w:val="BodyText"/>
      </w:pPr>
      <w:r>
        <w:t xml:space="preserve">6.5 The Buyer reserves the right to terminate this Purchase Order with thirty (30) days' written notice. In the event of termination, the Supplier shall deliver all work-in-progress files, ledgers, and supporting documentation to the Buyer within ten (10) business days.</w:t>
      </w:r>
    </w:p>
    <w:p>
      <w:pPr>
        <w:pStyle w:val="BodyText"/>
      </w:pPr>
      <w:r>
        <w:t xml:space="preserve">6.6 The Supplier shall ensure that the Accountant is in full compliance with the Saudi Labor Law, including but not limited to Iqama validity, work permit, and end-of-service benefit obligations.</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written acceptance by the Supplier. The Supplier's acceptance shall be confirmed by signing and returning a copy of this document within five (5) business days of receipt. Failure to respond within the stipulated period shall be construed as acceptance of all terms herein.</w:t>
      </w:r>
    </w:p>
    <w:p>
      <w:pPr>
        <w:pStyle w:val="BodyText"/>
      </w:pPr>
      <w:r>
        <w:rPr>
          <w:bCs/>
          <w:b/>
        </w:rPr>
        <w:t xml:space="preserve">For and on behalf of the Buyer:</w:t>
      </w:r>
    </w:p>
    <w:p>
      <w:pPr>
        <w:pStyle w:val="BodyText"/>
      </w:pPr>
      <w:r>
        <w:t xml:space="preserve">Al-Riyadh Corporate Services LLC</w:t>
      </w:r>
    </w:p>
    <w:p>
      <w:pPr>
        <w:pStyle w:val="BodyText"/>
      </w:pPr>
      <w:r>
        <w:t xml:space="preserve">Name: Eng. Sarah Al-Harbi</w:t>
      </w:r>
      <w:r>
        <w:br/>
      </w:r>
      <w:r>
        <w:t xml:space="preserve">Title: Chief Financial Officer</w:t>
      </w:r>
      <w:r>
        <w:br/>
      </w:r>
      <w:r>
        <w:t xml:space="preserve">Date: _______________</w:t>
      </w:r>
    </w:p>
    <w:p>
      <w:pPr>
        <w:pStyle w:val="BodyText"/>
      </w:pPr>
      <w:r>
        <w:rPr>
          <w:bCs/>
          <w:b/>
        </w:rPr>
        <w:t xml:space="preserve">For and on behalf of the Supplier:</w:t>
      </w:r>
    </w:p>
    <w:p>
      <w:pPr>
        <w:pStyle w:val="BodyText"/>
      </w:pPr>
      <w:r>
        <w:t xml:space="preserve">Al-Madina Professional Accounting &amp; Advisory FZE</w:t>
      </w:r>
    </w:p>
    <w:p>
      <w:pPr>
        <w:pStyle w:val="BodyText"/>
      </w:pPr>
      <w:r>
        <w:t xml:space="preserve">Name: Mr. Khalid Al-Otaibi</w:t>
      </w:r>
      <w:r>
        <w:br/>
      </w:r>
      <w:r>
        <w:t xml:space="preserve">Title: Director of Client Services</w:t>
      </w:r>
      <w:r>
        <w:br/>
      </w:r>
      <w:r>
        <w:t xml:space="preserve">Date: _______________</w:t>
      </w:r>
    </w:p>
    <w:p>
      <w:pPr>
        <w:pStyle w:val="BodyText"/>
      </w:pPr>
      <w:r>
        <w:t xml:space="preserve">— End of Purchase Order PO-2025-RYD-0472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Saudi Arabia Riyadh</dc:title>
  <dc:creator/>
  <dc:language>en</dc:language>
  <cp:keywords/>
  <dcterms:created xsi:type="dcterms:W3CDTF">2026-10-10T06:56:07Z</dcterms:created>
  <dcterms:modified xsi:type="dcterms:W3CDTF">2026-10-10T06:56:07Z</dcterms:modified>
</cp:coreProperties>
</file>

<file path=docProps/custom.xml><?xml version="1.0" encoding="utf-8"?>
<Properties xmlns="http://schemas.openxmlformats.org/officeDocument/2006/custom-properties" xmlns:vt="http://schemas.openxmlformats.org/officeDocument/2006/docPropsVTypes"/>
</file>