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Cape</w:t>
      </w:r>
      <w:r>
        <w:t xml:space="preserve"> </w:t>
      </w:r>
      <w:r>
        <w:t xml:space="preserve">Town,</w:t>
      </w:r>
      <w:r>
        <w:t xml:space="preserve"> </w:t>
      </w:r>
      <w:r>
        <w:t xml:space="preserve">South</w:t>
      </w:r>
      <w:r>
        <w:t xml:space="preserve"> </w:t>
      </w:r>
      <w:r>
        <w:t xml:space="preserve">Africa</w:t>
      </w:r>
    </w:p>
    <w:bookmarkStart w:id="20" w:name="purchase-order"/>
    <w:p>
      <w:pPr>
        <w:pStyle w:val="Heading1"/>
      </w:pPr>
      <w:r>
        <w:t xml:space="preserve">PURCHASE ORDER</w:t>
      </w:r>
    </w:p>
    <w:p>
      <w:pPr>
        <w:pStyle w:val="FirstParagraph"/>
      </w:pPr>
      <w:r>
        <w:rPr>
          <w:bCs/>
          <w:b/>
        </w:rPr>
        <w:t xml:space="preserve">Document Reference:</w:t>
      </w:r>
      <w:r>
        <w:t xml:space="preserve"> </w:t>
      </w:r>
      <w:r>
        <w:t xml:space="preserve">PO-CT-2025-04871</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Issuing Entity:</w:t>
      </w:r>
      <w:r>
        <w:t xml:space="preserve"> </w:t>
      </w:r>
      <w:r>
        <w:t xml:space="preserve">Atlantic Ridge Holdings (Pty) Ltd</w:t>
      </w:r>
    </w:p>
    <w:p>
      <w:pPr>
        <w:pStyle w:val="BodyText"/>
      </w:pPr>
      <w:r>
        <w:rPr>
          <w:bCs/>
          <w:b/>
        </w:rPr>
        <w:t xml:space="preserve">Registered Address:</w:t>
      </w:r>
      <w:r>
        <w:t xml:space="preserve"> </w:t>
      </w:r>
      <w:r>
        <w:t xml:space="preserve">12 Bree Street, V&amp;A Waterfront, Cape Town, 8001, South Africa</w:t>
      </w:r>
    </w:p>
    <w:p>
      <w:pPr>
        <w:pStyle w:val="BodyText"/>
      </w:pPr>
      <w:r>
        <w:rPr>
          <w:bCs/>
          <w:b/>
        </w:rPr>
        <w:t xml:space="preserve">VAT Registration Number:</w:t>
      </w:r>
      <w:r>
        <w:t xml:space="preserve"> </w:t>
      </w:r>
      <w:r>
        <w:t xml:space="preserve">4520187732</w:t>
      </w:r>
    </w:p>
    <w:p>
      <w:pPr>
        <w:pStyle w:val="BodyText"/>
      </w:pPr>
      <w:r>
        <w:rPr>
          <w:bCs/>
          <w:b/>
        </w:rPr>
        <w:t xml:space="preserve">Company Registration Number:</w:t>
      </w:r>
      <w:r>
        <w:t xml:space="preserve"> </w:t>
      </w:r>
      <w:r>
        <w:t xml:space="preserve">2019/482736/07</w:t>
      </w:r>
    </w:p>
    <w:bookmarkEnd w:id="20"/>
    <w:bookmarkStart w:id="21" w:name="supplier-service-provider-details"/>
    <w:p>
      <w:pPr>
        <w:pStyle w:val="Heading2"/>
      </w:pPr>
      <w:r>
        <w:t xml:space="preserve">1. Supplier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Table Bay Financial &amp; Accounting Services (Pty) Ltd</w:t>
            </w:r>
          </w:p>
        </w:tc>
      </w:tr>
      <w:tr>
        <w:tc>
          <w:tcPr/>
          <w:p>
            <w:pPr>
              <w:pStyle w:val="Compact"/>
              <w:jc w:val="left"/>
            </w:pPr>
            <w:r>
              <w:t xml:space="preserve">Physical Address</w:t>
            </w:r>
          </w:p>
        </w:tc>
        <w:tc>
          <w:tcPr/>
          <w:p>
            <w:pPr>
              <w:pStyle w:val="Compact"/>
              <w:jc w:val="left"/>
            </w:pPr>
            <w:r>
              <w:t xml:space="preserve">4th Floor, The Granary, 115 Long Street, Cape Town, 8001, South Africa</w:t>
            </w:r>
          </w:p>
        </w:tc>
      </w:tr>
      <w:tr>
        <w:tc>
          <w:tcPr/>
          <w:p>
            <w:pPr>
              <w:pStyle w:val="Compact"/>
              <w:jc w:val="left"/>
            </w:pPr>
            <w:r>
              <w:t xml:space="preserve">P.O. Box</w:t>
            </w:r>
          </w:p>
        </w:tc>
        <w:tc>
          <w:tcPr/>
          <w:p>
            <w:pPr>
              <w:pStyle w:val="Compact"/>
              <w:jc w:val="left"/>
            </w:pPr>
            <w:r>
              <w:t xml:space="preserve">P.O. Box 3847, Cape Town, 8001, South Africa</w:t>
            </w:r>
          </w:p>
        </w:tc>
      </w:tr>
      <w:tr>
        <w:tc>
          <w:tcPr/>
          <w:p>
            <w:pPr>
              <w:pStyle w:val="Compact"/>
              <w:jc w:val="left"/>
            </w:pPr>
            <w:r>
              <w:t xml:space="preserve">VAT Registration Number</w:t>
            </w:r>
          </w:p>
        </w:tc>
        <w:tc>
          <w:tcPr/>
          <w:p>
            <w:pPr>
              <w:pStyle w:val="Compact"/>
              <w:jc w:val="left"/>
            </w:pPr>
            <w:r>
              <w:t xml:space="preserve">4910233847</w:t>
            </w:r>
          </w:p>
        </w:tc>
      </w:tr>
      <w:tr>
        <w:tc>
          <w:tcPr/>
          <w:p>
            <w:pPr>
              <w:pStyle w:val="Compact"/>
              <w:jc w:val="left"/>
            </w:pPr>
            <w:r>
              <w:t xml:space="preserve">Company Registration Number</w:t>
            </w:r>
          </w:p>
        </w:tc>
        <w:tc>
          <w:tcPr/>
          <w:p>
            <w:pPr>
              <w:pStyle w:val="Compact"/>
              <w:jc w:val="left"/>
            </w:pPr>
            <w:r>
              <w:t xml:space="preserve">2016/291847/07</w:t>
            </w:r>
          </w:p>
        </w:tc>
      </w:tr>
      <w:tr>
        <w:tc>
          <w:tcPr/>
          <w:p>
            <w:pPr>
              <w:pStyle w:val="Compact"/>
              <w:jc w:val="left"/>
            </w:pPr>
            <w:r>
              <w:t xml:space="preserve">Contact Person</w:t>
            </w:r>
          </w:p>
        </w:tc>
        <w:tc>
          <w:tcPr/>
          <w:p>
            <w:pPr>
              <w:pStyle w:val="Compact"/>
              <w:jc w:val="left"/>
            </w:pPr>
            <w:r>
              <w:t xml:space="preserve">Mr. Daniel van der Merwe, Chief Accountant &amp; Director</w:t>
            </w:r>
          </w:p>
        </w:tc>
      </w:tr>
      <w:tr>
        <w:tc>
          <w:tcPr/>
          <w:p>
            <w:pPr>
              <w:pStyle w:val="Compact"/>
              <w:jc w:val="left"/>
            </w:pPr>
            <w:r>
              <w:t xml:space="preserve">Email</w:t>
            </w:r>
          </w:p>
        </w:tc>
        <w:tc>
          <w:tcPr/>
          <w:p>
            <w:pPr>
              <w:pStyle w:val="Compact"/>
              <w:jc w:val="left"/>
            </w:pPr>
            <w:r>
              <w:t xml:space="preserve">accounts@tablebayfinancial.co.za</w:t>
            </w:r>
          </w:p>
        </w:tc>
      </w:tr>
      <w:tr>
        <w:tc>
          <w:tcPr/>
          <w:p>
            <w:pPr>
              <w:pStyle w:val="Compact"/>
              <w:jc w:val="left"/>
            </w:pPr>
            <w:r>
              <w:t xml:space="preserve">Telephone</w:t>
            </w:r>
          </w:p>
        </w:tc>
        <w:tc>
          <w:tcPr/>
          <w:p>
            <w:pPr>
              <w:pStyle w:val="Compact"/>
              <w:jc w:val="left"/>
            </w:pPr>
            <w:r>
              <w:t xml:space="preserve">+27 (0)21 424 8832</w:t>
            </w:r>
          </w:p>
        </w:tc>
      </w:tr>
      <w:tr>
        <w:tc>
          <w:tcPr/>
          <w:p>
            <w:pPr>
              <w:pStyle w:val="Compact"/>
              <w:jc w:val="left"/>
            </w:pPr>
            <w:r>
              <w:t xml:space="preserve">Bank Details</w:t>
            </w:r>
          </w:p>
        </w:tc>
        <w:tc>
          <w:tcPr/>
          <w:p>
            <w:pPr>
              <w:pStyle w:val="Compact"/>
              <w:jc w:val="left"/>
            </w:pPr>
            <w:r>
              <w:t xml:space="preserve">Standard Bank, Account: 0123 456 789, Branch: 051001, Cape Town</w:t>
            </w:r>
          </w:p>
        </w:tc>
      </w:tr>
    </w:tbl>
    <w:bookmarkEnd w:id="21"/>
    <w:bookmarkStart w:id="22" w:name="X939f1535c214e0578860d6810b64de4c0a48898"/>
    <w:p>
      <w:pPr>
        <w:pStyle w:val="Heading2"/>
      </w:pPr>
      <w:r>
        <w:t xml:space="preserve">2. Description of Services – Professional Accountant Engagement</w:t>
      </w:r>
    </w:p>
    <w:p>
      <w:pPr>
        <w:pStyle w:val="FirstParagraph"/>
      </w:pPr>
      <w:r>
        <w:t xml:space="preserve">This</w:t>
      </w:r>
      <w:r>
        <w:t xml:space="preserve"> </w:t>
      </w:r>
      <w:r>
        <w:t xml:space="preserve">Purchase Order</w:t>
      </w:r>
      <w:r>
        <w:t xml:space="preserve"> </w:t>
      </w:r>
      <w:r>
        <w:t xml:space="preserve">is issued by Atlantic Ridge Holdings (Pty) Ltd to formally engage the services of a qualified</w:t>
      </w:r>
      <w:r>
        <w:t xml:space="preserve"> </w:t>
      </w:r>
      <w:r>
        <w:t xml:space="preserve">Accountant</w:t>
      </w:r>
      <w:r>
        <w:t xml:space="preserve"> </w:t>
      </w:r>
      <w:r>
        <w:t xml:space="preserve">and associated accounting support team provided by Table Bay Financial &amp; Accounting Services (Pty) Ltd. The engagement is to be performed primarily at the client's registered office in Cape Town, South Africa, with remote support available as required. The scope of the</w:t>
      </w:r>
      <w:r>
        <w:t xml:space="preserve"> </w:t>
      </w:r>
      <w:r>
        <w:t xml:space="preserve">Accountant</w:t>
      </w:r>
      <w:r>
        <w:t xml:space="preserve"> </w:t>
      </w:r>
      <w:r>
        <w:t xml:space="preserve">engagement is as follows: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Frequency</w:t>
            </w:r>
          </w:p>
        </w:tc>
        <w:tc>
          <w:tcPr/>
          <w:p>
            <w:pPr>
              <w:pStyle w:val="Compact"/>
              <w:jc w:val="left"/>
            </w:pPr>
            <w:r>
              <w:t xml:space="preserve">Unit Rate (ZAR, excl. VAT)</w:t>
            </w:r>
          </w:p>
        </w:tc>
        <w:tc>
          <w:tcPr/>
          <w:p>
            <w:pPr>
              <w:pStyle w:val="Compact"/>
              <w:jc w:val="left"/>
            </w:pPr>
            <w:r>
              <w:t xml:space="preserve">Quantity</w:t>
            </w:r>
          </w:p>
        </w:tc>
        <w:tc>
          <w:tcPr/>
          <w:p>
            <w:pPr>
              <w:pStyle w:val="Compact"/>
              <w:jc w:val="left"/>
            </w:pPr>
            <w:r>
              <w:t xml:space="preserve">Amount (ZAR, excl. VAT)</w:t>
            </w:r>
          </w:p>
        </w:tc>
      </w:tr>
      <w:tr>
        <w:tc>
          <w:tcPr/>
          <w:p>
            <w:pPr>
              <w:pStyle w:val="Compact"/>
              <w:jc w:val="left"/>
            </w:pPr>
            <w:r>
              <w:t xml:space="preserve">01</w:t>
            </w:r>
          </w:p>
        </w:tc>
        <w:tc>
          <w:tcPr/>
          <w:p>
            <w:pPr>
              <w:pStyle w:val="Compact"/>
              <w:jc w:val="left"/>
            </w:pPr>
            <w:r>
              <w:t xml:space="preserve">Monthly financial statement preparation and management reporting for the Cape Town head office and two satellite branches in the Western Cape region</w:t>
            </w:r>
          </w:p>
        </w:tc>
        <w:tc>
          <w:tcPr/>
          <w:p>
            <w:pPr>
              <w:pStyle w:val="Compact"/>
              <w:jc w:val="left"/>
            </w:pPr>
            <w:r>
              <w:t xml:space="preserve">Monthly</w:t>
            </w:r>
          </w:p>
        </w:tc>
        <w:tc>
          <w:tcPr/>
          <w:p>
            <w:pPr>
              <w:pStyle w:val="Compact"/>
              <w:jc w:val="left"/>
            </w:pPr>
            <w:r>
              <w:t xml:space="preserve">R 18,500.00</w:t>
            </w:r>
          </w:p>
        </w:tc>
        <w:tc>
          <w:tcPr/>
          <w:p>
            <w:pPr>
              <w:pStyle w:val="Compact"/>
              <w:jc w:val="left"/>
            </w:pPr>
            <w:r>
              <w:t xml:space="preserve">12</w:t>
            </w:r>
          </w:p>
        </w:tc>
        <w:tc>
          <w:tcPr/>
          <w:p>
            <w:pPr>
              <w:pStyle w:val="Compact"/>
              <w:jc w:val="left"/>
            </w:pPr>
            <w:r>
              <w:t xml:space="preserve">R 222,000.00</w:t>
            </w:r>
          </w:p>
        </w:tc>
      </w:tr>
      <w:tr>
        <w:tc>
          <w:tcPr/>
          <w:p>
            <w:pPr>
              <w:pStyle w:val="Compact"/>
              <w:jc w:val="left"/>
            </w:pPr>
            <w:r>
              <w:t xml:space="preserve">02</w:t>
            </w:r>
          </w:p>
        </w:tc>
        <w:tc>
          <w:tcPr/>
          <w:p>
            <w:pPr>
              <w:pStyle w:val="Compact"/>
              <w:jc w:val="left"/>
            </w:pPr>
            <w:r>
              <w:t xml:space="preserve">Annual statutory audit preparation, compilation of financial statements in accordance with IFRS for SMEs, and liaison with the external audit firm</w:t>
            </w:r>
          </w:p>
        </w:tc>
        <w:tc>
          <w:tcPr/>
          <w:p>
            <w:pPr>
              <w:pStyle w:val="Compact"/>
              <w:jc w:val="left"/>
            </w:pPr>
            <w:r>
              <w:t xml:space="preserve">Annually</w:t>
            </w:r>
          </w:p>
        </w:tc>
        <w:tc>
          <w:tcPr/>
          <w:p>
            <w:pPr>
              <w:pStyle w:val="Compact"/>
              <w:jc w:val="left"/>
            </w:pPr>
            <w:r>
              <w:t xml:space="preserve">R 45,000.00</w:t>
            </w:r>
          </w:p>
        </w:tc>
        <w:tc>
          <w:tcPr/>
          <w:p>
            <w:pPr>
              <w:pStyle w:val="Compact"/>
              <w:jc w:val="left"/>
            </w:pPr>
            <w:r>
              <w:t xml:space="preserve">1</w:t>
            </w:r>
          </w:p>
        </w:tc>
        <w:tc>
          <w:tcPr/>
          <w:p>
            <w:pPr>
              <w:pStyle w:val="Compact"/>
              <w:jc w:val="left"/>
            </w:pPr>
            <w:r>
              <w:t xml:space="preserve">R 45,000.00</w:t>
            </w:r>
          </w:p>
        </w:tc>
      </w:tr>
      <w:tr>
        <w:tc>
          <w:tcPr/>
          <w:p>
            <w:pPr>
              <w:pStyle w:val="Compact"/>
              <w:jc w:val="left"/>
            </w:pPr>
            <w:r>
              <w:t xml:space="preserve">03</w:t>
            </w:r>
          </w:p>
        </w:tc>
        <w:tc>
          <w:tcPr/>
          <w:p>
            <w:pPr>
              <w:pStyle w:val="Compact"/>
              <w:jc w:val="left"/>
            </w:pPr>
            <w:r>
              <w:t xml:space="preserve">Monthly VAT (Value Added Tax) returns, PAYE (Pay-As-You-Earn) submissions, and UIF (Unemployment Insurance Fund) declarations filed with the South African Revenue Service (SARS) on behalf of the client</w:t>
            </w:r>
          </w:p>
        </w:tc>
        <w:tc>
          <w:tcPr/>
          <w:p>
            <w:pPr>
              <w:pStyle w:val="Compact"/>
              <w:jc w:val="left"/>
            </w:pPr>
            <w:r>
              <w:t xml:space="preserve">Monthly</w:t>
            </w:r>
          </w:p>
        </w:tc>
        <w:tc>
          <w:tcPr/>
          <w:p>
            <w:pPr>
              <w:pStyle w:val="Compact"/>
              <w:jc w:val="left"/>
            </w:pPr>
            <w:r>
              <w:t xml:space="preserve">R 6,200.00</w:t>
            </w:r>
          </w:p>
        </w:tc>
        <w:tc>
          <w:tcPr/>
          <w:p>
            <w:pPr>
              <w:pStyle w:val="Compact"/>
              <w:jc w:val="left"/>
            </w:pPr>
            <w:r>
              <w:t xml:space="preserve">12</w:t>
            </w:r>
          </w:p>
        </w:tc>
        <w:tc>
          <w:tcPr/>
          <w:p>
            <w:pPr>
              <w:pStyle w:val="Compact"/>
              <w:jc w:val="left"/>
            </w:pPr>
            <w:r>
              <w:t xml:space="preserve">R 74,400.00</w:t>
            </w:r>
          </w:p>
        </w:tc>
      </w:tr>
      <w:tr>
        <w:tc>
          <w:tcPr/>
          <w:p>
            <w:pPr>
              <w:pStyle w:val="Compact"/>
              <w:jc w:val="left"/>
            </w:pPr>
            <w:r>
              <w:t xml:space="preserve">04</w:t>
            </w:r>
          </w:p>
        </w:tc>
        <w:tc>
          <w:tcPr/>
          <w:p>
            <w:pPr>
              <w:pStyle w:val="Compact"/>
              <w:jc w:val="left"/>
            </w:pPr>
            <w:r>
              <w:t xml:space="preserve">Payroll processing for 34 employees based in Cape Town, including salary calculations, leave tracking, and statutory deductions in compliance with the Basic Conditions of Employment Act (Act 75 of 1997)</w:t>
            </w:r>
          </w:p>
        </w:tc>
        <w:tc>
          <w:tcPr/>
          <w:p>
            <w:pPr>
              <w:pStyle w:val="Compact"/>
              <w:jc w:val="left"/>
            </w:pPr>
            <w:r>
              <w:t xml:space="preserve">Monthly</w:t>
            </w:r>
          </w:p>
        </w:tc>
        <w:tc>
          <w:tcPr/>
          <w:p>
            <w:pPr>
              <w:pStyle w:val="Compact"/>
              <w:jc w:val="left"/>
            </w:pPr>
            <w:r>
              <w:t xml:space="preserve">R 9,800.00</w:t>
            </w:r>
          </w:p>
        </w:tc>
        <w:tc>
          <w:tcPr/>
          <w:p>
            <w:pPr>
              <w:pStyle w:val="Compact"/>
              <w:jc w:val="left"/>
            </w:pPr>
            <w:r>
              <w:t xml:space="preserve">12</w:t>
            </w:r>
          </w:p>
        </w:tc>
        <w:tc>
          <w:tcPr/>
          <w:p>
            <w:pPr>
              <w:pStyle w:val="Compact"/>
              <w:jc w:val="left"/>
            </w:pPr>
            <w:r>
              <w:t xml:space="preserve">R 117,600.00</w:t>
            </w:r>
          </w:p>
        </w:tc>
      </w:tr>
      <w:tr>
        <w:tc>
          <w:tcPr/>
          <w:p>
            <w:pPr>
              <w:pStyle w:val="Compact"/>
              <w:jc w:val="left"/>
            </w:pPr>
            <w:r>
              <w:t xml:space="preserve">05</w:t>
            </w:r>
          </w:p>
        </w:tc>
        <w:tc>
          <w:tcPr/>
          <w:p>
            <w:pPr>
              <w:pStyle w:val="Compact"/>
              <w:jc w:val="left"/>
            </w:pPr>
            <w:r>
              <w:t xml:space="preserve">Advisory services: tax planning, cash-flow forecasting, budgeting, and strategic financial guidance for the Cape Town operations</w:t>
            </w:r>
          </w:p>
        </w:tc>
        <w:tc>
          <w:tcPr/>
          <w:p>
            <w:pPr>
              <w:pStyle w:val="Compact"/>
              <w:jc w:val="left"/>
            </w:pPr>
            <w:r>
              <w:t xml:space="preserve">Quarterly</w:t>
            </w:r>
          </w:p>
        </w:tc>
        <w:tc>
          <w:tcPr/>
          <w:p>
            <w:pPr>
              <w:pStyle w:val="Compact"/>
              <w:jc w:val="left"/>
            </w:pPr>
            <w:r>
              <w:t xml:space="preserve">R 12,000.00</w:t>
            </w:r>
          </w:p>
        </w:tc>
        <w:tc>
          <w:tcPr/>
          <w:p>
            <w:pPr>
              <w:pStyle w:val="Compact"/>
              <w:jc w:val="left"/>
            </w:pPr>
            <w:r>
              <w:t xml:space="preserve">4</w:t>
            </w:r>
          </w:p>
        </w:tc>
        <w:tc>
          <w:tcPr/>
          <w:p>
            <w:pPr>
              <w:pStyle w:val="Compact"/>
              <w:jc w:val="left"/>
            </w:pPr>
            <w:r>
              <w:t xml:space="preserve">R 48,000.00</w:t>
            </w:r>
          </w:p>
        </w:tc>
      </w:tr>
      <w:tr>
        <w:tc>
          <w:tcPr/>
          <w:p>
            <w:pPr>
              <w:pStyle w:val="Compact"/>
              <w:jc w:val="left"/>
            </w:pPr>
            <w:r>
              <w:t xml:space="preserve">06</w:t>
            </w:r>
          </w:p>
        </w:tc>
        <w:tc>
          <w:tcPr/>
          <w:p>
            <w:pPr>
              <w:pStyle w:val="Compact"/>
              <w:jc w:val="left"/>
            </w:pPr>
            <w:r>
              <w:t xml:space="preserve">Annual tax return (ITR12) preparation and submission for the company, including transfer pricing documentation where applicable</w:t>
            </w:r>
          </w:p>
        </w:tc>
        <w:tc>
          <w:tcPr/>
          <w:p>
            <w:pPr>
              <w:pStyle w:val="Compact"/>
              <w:jc w:val="left"/>
            </w:pPr>
            <w:r>
              <w:t xml:space="preserve">Annually</w:t>
            </w:r>
          </w:p>
        </w:tc>
        <w:tc>
          <w:tcPr/>
          <w:p>
            <w:pPr>
              <w:pStyle w:val="Compact"/>
              <w:jc w:val="left"/>
            </w:pPr>
            <w:r>
              <w:t xml:space="preserve">R 15,000.00</w:t>
            </w:r>
          </w:p>
        </w:tc>
        <w:tc>
          <w:tcPr/>
          <w:p>
            <w:pPr>
              <w:pStyle w:val="Compact"/>
              <w:jc w:val="left"/>
            </w:pPr>
            <w:r>
              <w:t xml:space="preserve">1</w:t>
            </w:r>
          </w:p>
        </w:tc>
        <w:tc>
          <w:tcPr/>
          <w:p>
            <w:pPr>
              <w:pStyle w:val="Compact"/>
              <w:jc w:val="left"/>
            </w:pPr>
            <w:r>
              <w:t xml:space="preserve">R 15,000.00</w:t>
            </w:r>
          </w:p>
        </w:tc>
      </w:tr>
      <w:tr>
        <w:tc>
          <w:tcPr>
            <w:gridSpan w:val="5"/>
          </w:tcPr>
          <w:p>
            <w:pPr>
              <w:pStyle w:val="Compact"/>
              <w:jc w:val="left"/>
            </w:pPr>
            <w:r>
              <w:t xml:space="preserve">Subtotal (excl. VAT)</w:t>
            </w:r>
          </w:p>
        </w:tc>
        <w:tc>
          <w:tcPr/>
          <w:p>
            <w:pPr>
              <w:pStyle w:val="Compact"/>
              <w:jc w:val="left"/>
            </w:pPr>
            <w:r>
              <w:t xml:space="preserve">R 522,000.00</w:t>
            </w:r>
          </w:p>
        </w:tc>
      </w:tr>
      <w:tr>
        <w:tc>
          <w:tcPr>
            <w:gridSpan w:val="5"/>
          </w:tcPr>
          <w:p>
            <w:pPr>
              <w:pStyle w:val="Compact"/>
              <w:jc w:val="left"/>
            </w:pPr>
            <w:r>
              <w:t xml:space="preserve">VAT @ 15% (South African standard rate)</w:t>
            </w:r>
          </w:p>
        </w:tc>
        <w:tc>
          <w:tcPr/>
          <w:p>
            <w:pPr>
              <w:pStyle w:val="Compact"/>
              <w:jc w:val="left"/>
            </w:pPr>
            <w:r>
              <w:t xml:space="preserve">R 78,300.00</w:t>
            </w:r>
          </w:p>
        </w:tc>
      </w:tr>
      <w:tr>
        <w:tc>
          <w:tcPr>
            <w:gridSpan w:val="5"/>
          </w:tcPr>
          <w:p>
            <w:pPr>
              <w:pStyle w:val="Compact"/>
              <w:jc w:val="left"/>
            </w:pPr>
            <w:r>
              <w:rPr>
                <w:bCs/>
                <w:b/>
              </w:rPr>
              <w:t xml:space="preserve">TOTAL AMOUNT DUE (incl. VAT)</w:t>
            </w:r>
          </w:p>
        </w:tc>
        <w:tc>
          <w:tcPr/>
          <w:p>
            <w:pPr>
              <w:pStyle w:val="Compact"/>
              <w:jc w:val="left"/>
            </w:pPr>
            <w:r>
              <w:rPr>
                <w:bCs/>
                <w:b/>
              </w:rPr>
              <w:t xml:space="preserve">R 600,300.00</w:t>
            </w:r>
          </w:p>
        </w:tc>
      </w:tr>
    </w:tbl>
    <w:p>
      <w:pPr>
        <w:pStyle w:val="BodyText"/>
      </w:pPr>
      <w:r>
        <w:t xml:space="preserve">All amounts are denominated in South African Rand (ZAR). The</w:t>
      </w:r>
      <w:r>
        <w:t xml:space="preserve"> </w:t>
      </w:r>
      <w:r>
        <w:t xml:space="preserve">Accountant</w:t>
      </w:r>
      <w:r>
        <w:t xml:space="preserve"> </w:t>
      </w:r>
      <w:r>
        <w:t xml:space="preserve">shall ensure full compliance with the Companies Act 71 of 2008, the Tax Administration Act 28 of 2011, and all applicable SARS regulations applicable to businesses operating in Cape Town, Western Cape, South Africa.</w:t>
      </w:r>
    </w:p>
    <w:bookmarkEnd w:id="22"/>
    <w:bookmarkStart w:id="23" w:name="terms-and-conditions"/>
    <w:p>
      <w:pPr>
        <w:pStyle w:val="Heading2"/>
      </w:pPr>
      <w:r>
        <w:t xml:space="preserve">3. Terms and Conditions</w:t>
      </w:r>
    </w:p>
    <w:p>
      <w:pPr>
        <w:pStyle w:val="FirstParagraph"/>
      </w:pPr>
      <w:r>
        <w:rPr>
          <w:bCs/>
          <w:b/>
        </w:rPr>
        <w:t xml:space="preserve">3.1</w:t>
      </w:r>
      <w:r>
        <w:t xml:space="preserve"> </w:t>
      </w:r>
      <w:r>
        <w:t xml:space="preserve">This</w:t>
      </w:r>
      <w:r>
        <w:t xml:space="preserve"> </w:t>
      </w:r>
      <w:r>
        <w:t xml:space="preserve">Purchase Order</w:t>
      </w:r>
      <w:r>
        <w:t xml:space="preserve"> </w:t>
      </w:r>
      <w:r>
        <w:t xml:space="preserve">constitutes a binding agreement between Atlantic Ridge Holdings (Pty) Ltd and Table Bay Financial &amp; Accounting Services (Pty) Ltd upon countersignature by both parties. The engagement of the</w:t>
      </w:r>
      <w:r>
        <w:t xml:space="preserve"> </w:t>
      </w:r>
      <w:r>
        <w:t xml:space="preserve">Accountant</w:t>
      </w:r>
      <w:r>
        <w:t xml:space="preserve"> </w:t>
      </w:r>
      <w:r>
        <w:t xml:space="preserve">and support team shall commence on 1 July 2025 and conclude on 30 June 2026, unless terminated earlier in accordance with Clause 3.7.</w:t>
      </w:r>
    </w:p>
    <w:p>
      <w:pPr>
        <w:pStyle w:val="BodyText"/>
      </w:pPr>
      <w:r>
        <w:rPr>
          <w:bCs/>
          <w:b/>
        </w:rPr>
        <w:t xml:space="preserve">3.2</w:t>
      </w:r>
      <w:r>
        <w:t xml:space="preserve"> </w:t>
      </w:r>
      <w:r>
        <w:t xml:space="preserve">The</w:t>
      </w:r>
      <w:r>
        <w:t xml:space="preserve"> </w:t>
      </w:r>
      <w:r>
        <w:t xml:space="preserve">Accountant</w:t>
      </w:r>
      <w:r>
        <w:t xml:space="preserve"> </w:t>
      </w:r>
      <w:r>
        <w:t xml:space="preserve">assigned to this engagement shall be a registered member of the South African Institute of Professional Accountants (SAIPA) or the Institute of Directors in Southern Africa (IODSA), and shall hold a valid professional indemnity insurance policy with a minimum cover of R 5,000,000.00.</w:t>
      </w:r>
    </w:p>
    <w:p>
      <w:pPr>
        <w:pStyle w:val="BodyText"/>
      </w:pPr>
      <w:r>
        <w:rPr>
          <w:bCs/>
          <w:b/>
        </w:rPr>
        <w:t xml:space="preserve">3.3</w:t>
      </w:r>
      <w:r>
        <w:t xml:space="preserve"> </w:t>
      </w:r>
      <w:r>
        <w:t xml:space="preserve">Payment terms: Invoices shall be submitted by the</w:t>
      </w:r>
      <w:r>
        <w:t xml:space="preserve"> </w:t>
      </w:r>
      <w:r>
        <w:t xml:space="preserve">Accountant</w:t>
      </w:r>
      <w:r>
        <w:t xml:space="preserve"> </w:t>
      </w:r>
      <w:r>
        <w:t xml:space="preserve">on the last working day of each calendar month. Payment shall be made within thirty (30) days of receipt of a valid tax invoice via electronic funds transfer (EFT) to the bank account specified in Section 1. Late payments shall attract interest at the rate of 10% per annum, as prescribed by the Late Payment of Debts Act 11 of 2011 (South Africa).</w:t>
      </w:r>
    </w:p>
    <w:p>
      <w:pPr>
        <w:pStyle w:val="BodyText"/>
      </w:pPr>
      <w:r>
        <w:rPr>
          <w:bCs/>
          <w:b/>
        </w:rPr>
        <w:t xml:space="preserve">3.4</w:t>
      </w:r>
      <w:r>
        <w:t xml:space="preserve"> </w:t>
      </w:r>
      <w:r>
        <w:t xml:space="preserve">The</w:t>
      </w:r>
      <w:r>
        <w:t xml:space="preserve"> </w:t>
      </w:r>
      <w:r>
        <w:t xml:space="preserve">Accountant</w:t>
      </w:r>
      <w:r>
        <w:t xml:space="preserve"> </w:t>
      </w:r>
      <w:r>
        <w:t xml:space="preserve">shall maintain strict confidentiality in accordance with the Protection of Personal Information Act (POPIA) 4 of 2013. All financial records, employee data, and proprietary business information of Atlantic Ridge Holdings (Pty) Ltd shall be treated as confidential and shall not be disclosed to any third party without prior written consent.</w:t>
      </w:r>
    </w:p>
    <w:p>
      <w:pPr>
        <w:pStyle w:val="BodyText"/>
      </w:pPr>
      <w:r>
        <w:rPr>
          <w:bCs/>
          <w:b/>
        </w:rPr>
        <w:t xml:space="preserve">3.5</w:t>
      </w:r>
      <w:r>
        <w:t xml:space="preserve"> </w:t>
      </w:r>
      <w:r>
        <w:t xml:space="preserve">The service delivery location for on-site work shall be the client's premises at 12 Bree Street, V&amp;A Waterfront, Cape Town, 8001, South Africa. The</w:t>
      </w:r>
      <w:r>
        <w:t xml:space="preserve"> </w:t>
      </w:r>
      <w:r>
        <w:t xml:space="preserve">Accountant</w:t>
      </w:r>
      <w:r>
        <w:t xml:space="preserve"> </w:t>
      </w:r>
      <w:r>
        <w:t xml:space="preserve">is required to be physically present at the Cape Town office no fewer than two (2) full days per month for reconciliation, review, and advisory sessions. All other services may be rendered remotely.</w:t>
      </w:r>
    </w:p>
    <w:p>
      <w:pPr>
        <w:pStyle w:val="BodyText"/>
      </w:pPr>
      <w:r>
        <w:rPr>
          <w:bCs/>
          <w:b/>
        </w:rPr>
        <w:t xml:space="preserve">3.6</w:t>
      </w:r>
      <w:r>
        <w:t xml:space="preserve"> </w:t>
      </w:r>
      <w:r>
        <w:t xml:space="preserve">The</w:t>
      </w:r>
      <w:r>
        <w:t xml:space="preserve"> </w:t>
      </w:r>
      <w:r>
        <w:t xml:space="preserve">Accountant</w:t>
      </w:r>
      <w:r>
        <w:t xml:space="preserve"> </w:t>
      </w:r>
      <w:r>
        <w:t xml:space="preserve">shall provide a written progress report to the client's Finance Director by the fifth (5th) business day of each month, detailing completed tasks, outstanding items, and any compliance risks identified during the period.</w:t>
      </w:r>
    </w:p>
    <w:p>
      <w:pPr>
        <w:pStyle w:val="BodyText"/>
      </w:pPr>
      <w:r>
        <w:rPr>
          <w:bCs/>
          <w:b/>
        </w:rPr>
        <w:t xml:space="preserve">3.7</w:t>
      </w:r>
      <w:r>
        <w:t xml:space="preserve"> </w:t>
      </w:r>
      <w:r>
        <w:t xml:space="preserve">Either party may terminate this</w:t>
      </w:r>
      <w:r>
        <w:t xml:space="preserve"> </w:t>
      </w:r>
      <w:r>
        <w:t xml:space="preserve">Purchase Order</w:t>
      </w:r>
      <w:r>
        <w:t xml:space="preserve"> </w:t>
      </w:r>
      <w:r>
        <w:t xml:space="preserve">engagement with thirty (30) days' written notice. In the event of termination, the</w:t>
      </w:r>
      <w:r>
        <w:t xml:space="preserve"> </w:t>
      </w:r>
      <w:r>
        <w:t xml:space="preserve">Accountant</w:t>
      </w:r>
      <w:r>
        <w:t xml:space="preserve"> </w:t>
      </w:r>
      <w:r>
        <w:t xml:space="preserve">shall deliver all completed and in-progress work products, including working papers, within fourteen (14) days of the termination date.</w:t>
      </w:r>
    </w:p>
    <w:p>
      <w:pPr>
        <w:pStyle w:val="BodyText"/>
      </w:pPr>
      <w:r>
        <w:rPr>
          <w:bCs/>
          <w:b/>
        </w:rPr>
        <w:t xml:space="preserve">3.8</w:t>
      </w:r>
      <w:r>
        <w:t xml:space="preserve"> </w:t>
      </w:r>
      <w:r>
        <w:t xml:space="preserve">This agreement shall be governed by and construed in accordance with the laws of the Republic of South Africa. Any disputes arising from this</w:t>
      </w:r>
      <w:r>
        <w:t xml:space="preserve"> </w:t>
      </w:r>
      <w:r>
        <w:t xml:space="preserve">Purchase Order</w:t>
      </w:r>
      <w:r>
        <w:t xml:space="preserve"> </w:t>
      </w:r>
      <w:r>
        <w:t xml:space="preserve">shall be subject to the exclusive jurisdiction of the High Court of South Africa, Western Cape Division, Cape Town.</w:t>
      </w:r>
    </w:p>
    <w:bookmarkEnd w:id="23"/>
    <w:bookmarkStart w:id="24" w:name="acceptance-and-authorisation"/>
    <w:p>
      <w:pPr>
        <w:pStyle w:val="Heading2"/>
      </w:pPr>
      <w:r>
        <w:t xml:space="preserve">4. Acceptance and Authorisation</w:t>
      </w:r>
    </w:p>
    <w:p>
      <w:pPr>
        <w:pStyle w:val="FirstParagraph"/>
      </w:pPr>
      <w:r>
        <w:t xml:space="preserve">This</w:t>
      </w:r>
      <w:r>
        <w:t xml:space="preserve"> </w:t>
      </w:r>
      <w:r>
        <w:t xml:space="preserve">Purchase Order</w:t>
      </w:r>
      <w:r>
        <w:t xml:space="preserve"> </w:t>
      </w:r>
      <w:r>
        <w:t xml:space="preserve">is authorised for release by the undersigned on behalf of Atlantic Ridge Holdings (Pty) Ltd. The</w:t>
      </w:r>
      <w:r>
        <w:t xml:space="preserve"> </w:t>
      </w:r>
      <w:r>
        <w:t xml:space="preserve">Accountant</w:t>
      </w:r>
      <w:r>
        <w:t xml:space="preserve"> </w:t>
      </w:r>
      <w:r>
        <w:t xml:space="preserve">service provider is requested to confirm acceptance by signing and returning a copy of this document within five (5) business days of receipt.</w:t>
      </w:r>
    </w:p>
    <w:p>
      <w:pPr>
        <w:pStyle w:val="BodyText"/>
      </w:pPr>
      <w:r>
        <w:rPr>
          <w:bCs/>
          <w:b/>
        </w:rPr>
        <w:t xml:space="preserve">For and on behalf of:</w:t>
      </w:r>
      <w:r>
        <w:br/>
      </w:r>
      <w:r>
        <w:t xml:space="preserve">Atlantic Ridge Holdings (Pty) Ltd</w:t>
      </w:r>
    </w:p>
    <w:p>
      <w:pPr>
        <w:pStyle w:val="BodyText"/>
      </w:pPr>
      <w:r>
        <w:t xml:space="preserve">Name: Ms. Thandiwe Nkosi</w:t>
      </w:r>
    </w:p>
    <w:p>
      <w:pPr>
        <w:pStyle w:val="BodyText"/>
      </w:pPr>
      <w:r>
        <w:t xml:space="preserve">Title: Chief Financial Officer</w:t>
      </w:r>
    </w:p>
    <w:p>
      <w:pPr>
        <w:pStyle w:val="BodyText"/>
      </w:pPr>
      <w:r>
        <w:t xml:space="preserve">Signature: ___________________________</w:t>
      </w:r>
    </w:p>
    <w:p>
      <w:pPr>
        <w:pStyle w:val="BodyText"/>
      </w:pPr>
      <w:r>
        <w:t xml:space="preserve">Date: 14 June 2025</w:t>
      </w:r>
    </w:p>
    <w:p>
      <w:pPr>
        <w:pStyle w:val="BodyText"/>
      </w:pPr>
      <w:r>
        <w:rPr>
          <w:bCs/>
          <w:b/>
        </w:rPr>
        <w:t xml:space="preserve">For and on behalf of:</w:t>
      </w:r>
      <w:r>
        <w:br/>
      </w:r>
      <w:r>
        <w:t xml:space="preserve">Table Bay Financial &amp; Accounting Services (Pty) Ltd</w:t>
      </w:r>
    </w:p>
    <w:p>
      <w:pPr>
        <w:pStyle w:val="BodyText"/>
      </w:pPr>
      <w:r>
        <w:t xml:space="preserve">Name: Mr. Daniel van der Merwe</w:t>
      </w:r>
    </w:p>
    <w:p>
      <w:pPr>
        <w:pStyle w:val="BodyText"/>
      </w:pPr>
      <w:r>
        <w:t xml:space="preserve">Title: Chief Accountant &amp; Director</w:t>
      </w:r>
    </w:p>
    <w:p>
      <w:pPr>
        <w:pStyle w:val="BodyText"/>
      </w:pPr>
      <w:r>
        <w:t xml:space="preserve">Signature: ___________________________</w:t>
      </w:r>
    </w:p>
    <w:p>
      <w:pPr>
        <w:pStyle w:val="BodyText"/>
      </w:pPr>
      <w:r>
        <w:t xml:space="preserve">Date: ___________________________</w:t>
      </w:r>
    </w:p>
    <w:bookmarkEnd w:id="24"/>
    <w:p>
      <w:pPr>
        <w:pStyle w:val="BodyText"/>
      </w:pPr>
      <w:r>
        <w:rPr>
          <w:bCs/>
          <w:b/>
        </w:rPr>
        <w:t xml:space="preserve">Document Classification:</w:t>
      </w:r>
      <w:r>
        <w:t xml:space="preserve"> </w:t>
      </w:r>
      <w:r>
        <w:t xml:space="preserve">Confidential – Internal Use Only</w:t>
      </w:r>
    </w:p>
    <w:p>
      <w:pPr>
        <w:pStyle w:val="BodyText"/>
      </w:pPr>
      <w:r>
        <w:rPr>
          <w:bCs/>
          <w:b/>
        </w:rPr>
        <w:t xml:space="preserve">Prepared by:</w:t>
      </w:r>
      <w:r>
        <w:t xml:space="preserve"> </w:t>
      </w:r>
      <w:r>
        <w:t xml:space="preserve">Procurement Department, Atlantic Ridge Holdings (Pty) Ltd, Cape Town, South Africa</w:t>
      </w:r>
    </w:p>
    <w:p>
      <w:pPr>
        <w:pStyle w:val="BodyText"/>
      </w:pPr>
      <w:r>
        <w:rPr>
          <w:bCs/>
          <w:b/>
        </w:rPr>
        <w:t xml:space="preserve">Version:</w:t>
      </w:r>
      <w:r>
        <w:t xml:space="preserve"> </w:t>
      </w:r>
      <w:r>
        <w:t xml:space="preserve">1.0 |</w:t>
      </w:r>
      <w:r>
        <w:t xml:space="preserve"> </w:t>
      </w:r>
      <w:r>
        <w:rPr>
          <w:bCs/>
          <w:b/>
        </w:rPr>
        <w:t xml:space="preserve">Page:</w:t>
      </w:r>
      <w:r>
        <w:t xml:space="preserve"> </w:t>
      </w:r>
      <w:r>
        <w:t xml:space="preserve">1 of 1</w:t>
      </w:r>
    </w:p>
    <w:p>
      <w:pPr>
        <w:pStyle w:val="BodyText"/>
      </w:pPr>
      <w:r>
        <w:t xml:space="preserve">This</w:t>
      </w:r>
      <w:r>
        <w:t xml:space="preserve"> </w:t>
      </w:r>
      <w:r>
        <w:t xml:space="preserve">Purchase Order</w:t>
      </w:r>
      <w:r>
        <w:t xml:space="preserve"> </w:t>
      </w:r>
      <w:r>
        <w:t xml:space="preserve">was generated in accordance with the company's procurement policy and the South African National Treasury regulations applicable to private-sector entities operating in Cape Town, Western Cape, South Africa. The engagement of the</w:t>
      </w:r>
      <w:r>
        <w:t xml:space="preserve"> </w:t>
      </w:r>
      <w:r>
        <w:t xml:space="preserve">Accountant</w:t>
      </w:r>
      <w:r>
        <w:t xml:space="preserve"> </w:t>
      </w:r>
      <w:r>
        <w:t xml:space="preserve">services described herein is subject to the terms set forth in this document and any applicable amendments agreed upon in writing by both parties.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Accountant Services - Cape Town, South Africa</dc:title>
  <dc:creator/>
  <dc:language>en</dc:language>
  <cp:keywords/>
  <dcterms:created xsi:type="dcterms:W3CDTF">2026-10-10T08:48:47Z</dcterms:created>
  <dcterms:modified xsi:type="dcterms:W3CDTF">2026-10-10T08:48:47Z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