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po-2025-dxb-0472"/>
    <w:p>
      <w:pPr>
        <w:pStyle w:val="Heading1"/>
      </w:pPr>
      <w:r>
        <w:t xml:space="preserve">PURCHASE ORDER</w:t>
      </w:r>
      <w:r>
        <w:t xml:space="preserve"> </w:t>
      </w:r>
      <w:r>
        <w:t xml:space="preserve">PO-2025-DXB-0472</w:t>
      </w:r>
    </w:p>
    <w:p>
      <w:pPr>
        <w:pStyle w:val="FirstParagraph"/>
      </w:pPr>
      <w:r>
        <w:rPr>
          <w:bCs/>
          <w:b/>
        </w:rPr>
        <w:t xml:space="preserve">Al Noor Financial Services LLC</w:t>
      </w:r>
    </w:p>
    <w:p>
      <w:pPr>
        <w:pStyle w:val="BodyText"/>
      </w:pPr>
      <w:r>
        <w:t xml:space="preserve">Office 1204, Level 12, Burj Khalifa, Downtown Dubai, United Arab Emirates</w:t>
      </w:r>
    </w:p>
    <w:p>
      <w:pPr>
        <w:pStyle w:val="BodyText"/>
      </w:pPr>
      <w:r>
        <w:t xml:space="preserve">Tel: +971 4 555 8920 | Email: procurement@alnoorfin.ae | TRN: 100234567800003</w:t>
      </w:r>
    </w:p>
    <w:bookmarkEnd w:id="20"/>
    <w:p>
      <w:pPr>
        <w:pStyle w:val="BodyText"/>
      </w:pPr>
      <w:r>
        <w:rPr>
          <w:bCs/>
          <w:b/>
        </w:rPr>
        <w:t xml:space="preserve">Purchase Order No.:</w:t>
      </w:r>
      <w:r>
        <w:t xml:space="preserve"> </w:t>
      </w:r>
      <w:r>
        <w:t xml:space="preserve">PO-2025-DXB-0472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Service Provider:</w:t>
      </w:r>
      <w:r>
        <w:t xml:space="preserve"> </w:t>
      </w:r>
      <w:r>
        <w:t xml:space="preserve">Emirates Professional Accounting &amp; Advisory FZ-LLC</w:t>
      </w:r>
      <w:r>
        <w:br/>
      </w:r>
      <w:r>
        <w:rPr>
          <w:bCs/>
          <w:b/>
        </w:rPr>
        <w:t xml:space="preserve">Vendor Address:</w:t>
      </w:r>
      <w:r>
        <w:t xml:space="preserve"> </w:t>
      </w:r>
      <w:r>
        <w:t xml:space="preserve">Unit 7, Dubai International Financial Centre (DIFC), Gate Village 3, United Arab Emirates</w:t>
      </w:r>
      <w:r>
        <w:br/>
      </w:r>
      <w:r>
        <w:rPr>
          <w:bCs/>
          <w:b/>
        </w:rPr>
        <w:t xml:space="preserve">Vendor TRN:</w:t>
      </w:r>
      <w:r>
        <w:t xml:space="preserve"> </w:t>
      </w:r>
      <w:r>
        <w:t xml:space="preserve">100987654300003</w:t>
      </w:r>
      <w:r>
        <w:br/>
      </w:r>
      <w:r>
        <w:rPr>
          <w:bCs/>
          <w:b/>
        </w:rPr>
        <w:t xml:space="preserve">Vendor Contact:</w:t>
      </w:r>
      <w:r>
        <w:t xml:space="preserve"> </w:t>
      </w:r>
      <w:r>
        <w:t xml:space="preserve">Ms. Fatima Al Mansoori – Director</w:t>
      </w:r>
    </w:p>
    <w:p>
      <w:pPr>
        <w:pStyle w:val="BodyText"/>
      </w:pPr>
      <w:r>
        <w:rPr>
          <w:bCs/>
          <w:b/>
        </w:rPr>
        <w:t xml:space="preserve">Department:</w:t>
      </w:r>
      <w:r>
        <w:t xml:space="preserve"> </w:t>
      </w:r>
      <w:r>
        <w:t xml:space="preserve">Finance &amp; Accounting</w:t>
      </w:r>
      <w:r>
        <w:br/>
      </w:r>
      <w:r>
        <w:rPr>
          <w:bCs/>
          <w:b/>
        </w:rPr>
        <w:t xml:space="preserve">Cost Centre:</w:t>
      </w:r>
      <w:r>
        <w:t xml:space="preserve"> </w:t>
      </w:r>
      <w:r>
        <w:t xml:space="preserve">CC-0042</w:t>
      </w:r>
      <w:r>
        <w:br/>
      </w:r>
      <w:r>
        <w:rPr>
          <w:bCs/>
          <w:b/>
        </w:rPr>
        <w:t xml:space="preserve">Payment Terms:</w:t>
      </w:r>
      <w:r>
        <w:t xml:space="preserve"> </w:t>
      </w:r>
      <w:r>
        <w:t xml:space="preserve">Net 30 Days</w:t>
      </w:r>
      <w:r>
        <w:br/>
      </w:r>
      <w:r>
        <w:rPr>
          <w:bCs/>
          <w:b/>
        </w:rPr>
        <w:t xml:space="preserve">Currency:</w:t>
      </w:r>
      <w:r>
        <w:t xml:space="preserve"> </w:t>
      </w:r>
      <w:r>
        <w:t xml:space="preserve">AED (United Arab Emirates Dirham)</w:t>
      </w:r>
    </w:p>
    <w:bookmarkStart w:id="21" w:name="X0d010288382d41e9495d0d643d37ce11a2d33ce"/>
    <w:p>
      <w:pPr>
        <w:pStyle w:val="Heading2"/>
      </w:pPr>
      <w:r>
        <w:t xml:space="preserve">1. Scope of Purchase Order – Accountant Engagement</w:t>
      </w:r>
    </w:p>
    <w:p>
      <w:pPr>
        <w:pStyle w:val="FirstParagraph"/>
      </w:pPr>
      <w:r>
        <w:t xml:space="preserve">This Purchase Order is issued by Al Noor Financial Services LLC (hereinafter referred to as the "Buyer") to Emirates Professional Accounting &amp; Advisory FZ-LLC (hereinafter referred to as the "Vendor") for the professional engagement of a qualified</w:t>
      </w:r>
      <w:r>
        <w:t xml:space="preserve"> </w:t>
      </w:r>
      <w:r>
        <w:rPr>
          <w:bCs/>
          <w:b/>
        </w:rPr>
        <w:t xml:space="preserve">Accountant</w:t>
      </w:r>
      <w:r>
        <w:t xml:space="preserve"> </w:t>
      </w:r>
      <w:r>
        <w:t xml:space="preserve">to provide comprehensive financial, accounting, and compliance services within the jurisdiction of</w:t>
      </w:r>
      <w:r>
        <w:t xml:space="preserve"> </w:t>
      </w:r>
      <w:r>
        <w:rPr>
          <w:bCs/>
          <w:b/>
        </w:rPr>
        <w:t xml:space="preserve">United Arab Emirates Dubai</w:t>
      </w:r>
      <w:r>
        <w:t xml:space="preserve">. This Purchase Order governs the scope, deliverables, compensation, and terms under which the Accountant shall perform duties on behalf of the Buyer for the contract period specified herein.</w:t>
      </w:r>
    </w:p>
    <w:bookmarkEnd w:id="21"/>
    <w:bookmarkStart w:id="22" w:name="line-items-services-and-compensation"/>
    <w:p>
      <w:pPr>
        <w:pStyle w:val="Heading2"/>
      </w:pPr>
      <w:r>
        <w:t xml:space="preserve">2.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Engagement of a Chartered Accountant (ICAEW / ACCA qualified) for full-time monthly accounting services including ledger maintenance, journal entries, and month-end close in United Arab Emirates Dubai</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Preparation and filing of VAT returns (quarterly) in compliance with the Federal Tax Authority (FTA) regulations applicable in United Arab Emirates Dubai</w:t>
            </w:r>
          </w:p>
        </w:tc>
        <w:tc>
          <w:tcPr/>
          <w:p>
            <w:pPr>
              <w:pStyle w:val="Compact"/>
              <w:jc w:val="left"/>
            </w:pPr>
            <w:r>
              <w:t xml:space="preserve">4 filings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Annual statutory audit support, financial statement preparation, and corporate tax return filing under the UAE Corporate Tax Law (Federal Decree-Law No. 47 of 2022)</w:t>
            </w:r>
          </w:p>
        </w:tc>
        <w:tc>
          <w:tcPr/>
          <w:p>
            <w:pPr>
              <w:pStyle w:val="Compact"/>
              <w:jc w:val="left"/>
            </w:pPr>
            <w:r>
              <w:t xml:space="preserve">1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Payroll processing, WPS (Wage Protection System) compliance, and end-of-service benefit calculations for 45 employees registered in United Arab Emirates Dubai</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Monthly management accounts, budget variance analysis, and CFO reporting package delivered to the Buyer's headquarters in Dubai</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Ad-hoc advisory on UAE regulatory compliance, free zone vs. mainland accounting differences, and intercompany transaction documentation</w:t>
            </w:r>
          </w:p>
        </w:tc>
        <w:tc>
          <w:tcPr/>
          <w:p>
            <w:pPr>
              <w:pStyle w:val="Compact"/>
              <w:jc w:val="left"/>
            </w:pPr>
            <w:r>
              <w:t xml:space="preserve">As required (est. 40 hrs)</w:t>
            </w:r>
          </w:p>
        </w:tc>
        <w:tc>
          <w:tcPr/>
          <w:p>
            <w:pPr>
              <w:pStyle w:val="Compact"/>
              <w:jc w:val="left"/>
            </w:pPr>
            <w:r>
              <w:t xml:space="preserve">450.00</w:t>
            </w:r>
          </w:p>
        </w:tc>
        <w:tc>
          <w:tcPr/>
          <w:p>
            <w:pPr>
              <w:pStyle w:val="Compact"/>
              <w:jc w:val="left"/>
            </w:pPr>
            <w:r>
              <w:t xml:space="preserve">18,000.00</w:t>
            </w:r>
          </w:p>
        </w:tc>
      </w:tr>
      <w:tr>
        <w:tc>
          <w:tcPr>
            <w:gridSpan w:val="4"/>
          </w:tcPr>
          <w:p>
            <w:pPr>
              <w:pStyle w:val="Compact"/>
              <w:jc w:val="right"/>
            </w:pPr>
            <w:r>
              <w:t xml:space="preserve">TOTAL PURCHASE ORDER VALUE (AED):</w:t>
            </w:r>
          </w:p>
        </w:tc>
        <w:tc>
          <w:tcPr/>
          <w:p>
            <w:pPr>
              <w:pStyle w:val="Compact"/>
              <w:jc w:val="left"/>
            </w:pPr>
            <w:r>
              <w:t xml:space="preserve">526,900.00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commercial laws applicable in the Emirate of Dubai. Any disputes arising from this Purchase Order shall be subject to the exclusive jurisdiction of the Dubai Courts or, at the Buyer's election, the Dubai International Financial Centre (DIFC) Courts.</w:t>
      </w:r>
    </w:p>
    <w:p>
      <w:pPr>
        <w:numPr>
          <w:ilvl w:val="0"/>
          <w:numId w:val="1001"/>
        </w:numPr>
        <w:pStyle w:val="Compact"/>
      </w:pPr>
      <w:r>
        <w:rPr>
          <w:bCs/>
          <w:b/>
        </w:rPr>
        <w:t xml:space="preserve">Accountant Qualifications:</w:t>
      </w:r>
      <w:r>
        <w:t xml:space="preserve"> </w:t>
      </w:r>
      <w:r>
        <w:t xml:space="preserve">The Accountant engaged under this Purchase Order must hold a valid professional qualification (ICAEW, ACCA, CPA, or equivalent) and possess a minimum of five (5) years of post-qualification experience in UAE corporate accounting. The Accountant must be legally permitted to work in United Arab Emirates Dubai and hold a valid UAE residence visa and work permit.</w:t>
      </w:r>
    </w:p>
    <w:p>
      <w:pPr>
        <w:numPr>
          <w:ilvl w:val="0"/>
          <w:numId w:val="1001"/>
        </w:numPr>
        <w:pStyle w:val="Compact"/>
      </w:pPr>
      <w:r>
        <w:rPr>
          <w:bCs/>
          <w:b/>
        </w:rPr>
        <w:t xml:space="preserve">Compliance Obligations:</w:t>
      </w:r>
      <w:r>
        <w:t xml:space="preserve"> </w:t>
      </w:r>
      <w:r>
        <w:t xml:space="preserve">The Accountant shall ensure full compliance with all applicable UAE regulations, including but not limited to: the UAE Federal Tax Authority VAT regulations, the UAE Corporate Tax Law, the Companies Law (Federal Law No. 32 of 2021), and any Dubai-specific municipal or free zone requirements. The Accountant shall maintain all books of account in accordance with International Financial Reporting Standards (IFRS) as adopted in the United Arab Emirates.</w:t>
      </w:r>
    </w:p>
    <w:p>
      <w:pPr>
        <w:numPr>
          <w:ilvl w:val="0"/>
          <w:numId w:val="1001"/>
        </w:numPr>
        <w:pStyle w:val="Compact"/>
      </w:pPr>
      <w:r>
        <w:rPr>
          <w:bCs/>
          <w:b/>
        </w:rPr>
        <w:t xml:space="preserve">Payment Schedule:</w:t>
      </w:r>
      <w:r>
        <w:t xml:space="preserve"> </w:t>
      </w:r>
      <w:r>
        <w:t xml:space="preserve">Payment for services rendered under this Purchase Order shall be made on a monthly basis within thirty (30) calendar days of receipt of a valid tax invoice from the Vendor. All payments shall be made in AED via bank transfer to the Vendor's designated account in a UAE-licensed bank. The Buyer reserves the right to withhold payment for any disputed line items pending resolution.</w:t>
      </w:r>
    </w:p>
    <w:p>
      <w:pPr>
        <w:numPr>
          <w:ilvl w:val="0"/>
          <w:numId w:val="1001"/>
        </w:numPr>
        <w:pStyle w:val="Compact"/>
      </w:pPr>
      <w:r>
        <w:rPr>
          <w:bCs/>
          <w:b/>
        </w:rPr>
        <w:t xml:space="preserve">Confidentiality and Data Protection:</w:t>
      </w:r>
      <w:r>
        <w:t xml:space="preserve"> </w:t>
      </w:r>
      <w:r>
        <w:t xml:space="preserve">The Accountant shall treat all financial records, client data, and proprietary information of the Buyer as strictly confidential. This obligation shall survive the termination of this Purchase Order for a period of three (3) years. The Accountant shall comply with the UAE Data Protection Law (Federal Decree-Law No. 45 of 2021) in handling all personal and corporate data within United Arab Emirates Dubai.</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by the Accountant (including but not limited to professional negligence, fraud, or failure to meet statutory filing deadlines), the Buyer may terminate this Purchase Order immediately upon written notice without liability for remaining contract value.</w:t>
      </w:r>
    </w:p>
    <w:p>
      <w:pPr>
        <w:numPr>
          <w:ilvl w:val="0"/>
          <w:numId w:val="1001"/>
        </w:numPr>
        <w:pStyle w:val="Compact"/>
      </w:pPr>
      <w:r>
        <w:rPr>
          <w:bCs/>
          <w:b/>
        </w:rPr>
        <w:t xml:space="preserve">Insurance and Indemnity:</w:t>
      </w:r>
      <w:r>
        <w:t xml:space="preserve"> </w:t>
      </w:r>
      <w:r>
        <w:t xml:space="preserve">The Vendor shall maintain professional indemnity insurance with a minimum coverage of AED 2,000,000 for the duration of this Purchase Order. The Vendor shall indemnify and hold harmless the Buyer against any claims, losses, or penalties arising from the Accountant's professional negligence or non-compliance with UAE regulatory requirements.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government-imposed restrictions in the United Arab Emirates, natural disasters, or pandemics, provided that the affected party notifies the other in writing within five (5) business days.</w:t>
      </w:r>
    </w:p>
    <w:p>
      <w:pPr>
        <w:numPr>
          <w:ilvl w:val="0"/>
          <w:numId w:val="1001"/>
        </w:numPr>
        <w:pStyle w:val="Compact"/>
      </w:pPr>
      <w:r>
        <w:rPr>
          <w:bCs/>
          <w:b/>
        </w:rPr>
        <w:t xml:space="preserve">Amendments:</w:t>
      </w:r>
      <w:r>
        <w:t xml:space="preserve"> </w:t>
      </w:r>
      <w:r>
        <w:t xml:space="preserve">Any amendment or modification to this Purchase Order must be made in writing and signed by authorized representatives of both parties. Verbal agreements or informal communications shall not constitute a valid amendment to this Purchase Order.</w:t>
      </w:r>
    </w:p>
    <w:bookmarkEnd w:id="23"/>
    <w:bookmarkStart w:id="24" w:name="delivery-and-commencement"/>
    <w:p>
      <w:pPr>
        <w:pStyle w:val="Heading2"/>
      </w:pPr>
      <w:r>
        <w:t xml:space="preserve">4. Delivery and Commencement</w:t>
      </w:r>
    </w:p>
    <w:p>
      <w:pPr>
        <w:pStyle w:val="FirstParagraph"/>
      </w:pPr>
      <w:r>
        <w:t xml:space="preserve">The Accountant shall commence services no later than</w:t>
      </w:r>
      <w:r>
        <w:t xml:space="preserve"> </w:t>
      </w:r>
      <w:r>
        <w:rPr>
          <w:bCs/>
          <w:b/>
        </w:rPr>
        <w:t xml:space="preserve">1 July 2025</w:t>
      </w:r>
      <w:r>
        <w:t xml:space="preserve"> </w:t>
      </w:r>
      <w:r>
        <w:t xml:space="preserve">at the Buyer's principal office located in Downtown Dubai, United Arab Emirates. All deliverables, including monthly management accounts, VAT filings, and annual financial statements, shall be submitted to the Buyer's Finance Director via secure electronic transfer no later than the deadlines specified in the service schedule attached as Annexure A to this Purchase Order. The Accountant shall be available for on-site attendance at the Dubai office a minimum of three (3) days per week, with the remaining days to be worked remotely at the Vendor's DIFC office.</w:t>
      </w:r>
    </w:p>
    <w:bookmarkEnd w:id="24"/>
    <w:bookmarkStart w:id="25" w:name="authorization-and-acceptance"/>
    <w:p>
      <w:pPr>
        <w:pStyle w:val="Heading2"/>
      </w:pPr>
      <w:r>
        <w:t xml:space="preserve">5. Authorization and Acceptance</w:t>
      </w:r>
    </w:p>
    <w:p>
      <w:pPr>
        <w:pStyle w:val="FirstParagraph"/>
      </w:pPr>
      <w:r>
        <w:rPr>
          <w:bCs/>
          <w:b/>
        </w:rPr>
        <w:t xml:space="preserve">For and on behalf of the Buyer:</w:t>
      </w:r>
    </w:p>
    <w:p>
      <w:pPr>
        <w:pStyle w:val="BodyText"/>
      </w:pPr>
      <w:r>
        <w:t xml:space="preserve">Al Noor Financial Services LLC</w:t>
      </w:r>
    </w:p>
    <w:p>
      <w:pPr>
        <w:pStyle w:val="BodyText"/>
      </w:pPr>
      <w:r>
        <w:rPr>
          <w:bCs/>
          <w:b/>
        </w:rPr>
        <w:t xml:space="preserve">Name:</w:t>
      </w:r>
      <w:r>
        <w:t xml:space="preserve"> </w:t>
      </w:r>
      <w:r>
        <w:t xml:space="preserve">Khalid bin Rashid Al Maktoum</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Vendor:</w:t>
      </w:r>
    </w:p>
    <w:p>
      <w:pPr>
        <w:pStyle w:val="BodyText"/>
      </w:pPr>
      <w:r>
        <w:t xml:space="preserve">Emirates Professional Accounting &amp; Advisory FZ-LLC</w:t>
      </w:r>
    </w:p>
    <w:p>
      <w:pPr>
        <w:pStyle w:val="BodyText"/>
      </w:pPr>
      <w:r>
        <w:rPr>
          <w:bCs/>
          <w:b/>
        </w:rPr>
        <w:t xml:space="preserve">Name:</w:t>
      </w:r>
      <w:r>
        <w:t xml:space="preserve"> </w:t>
      </w:r>
      <w:r>
        <w:t xml:space="preserve">Fatima Al Mansoori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(PO-2025-DXB-0472) is issued in accordance with the procurement policies of Al Noor Financial Services LLC and the commercial regulations of the United Arab Emirates Dubai. This document is valid only when signed and stamped by both parties. Unauthorized reproduction or distribution of this Purchase Order is strictly prohibited.</w:t>
      </w:r>
    </w:p>
    <w:p>
      <w:pPr>
        <w:pStyle w:val="BodyText"/>
      </w:pPr>
      <w:r>
        <w:t xml:space="preserve">Page 1 of 1 | Generated: 15 June 2025 | Reference: FIN/PO/2025/0472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Arab Emirates Dubai</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