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Valley Corporate Services Ltd.</w:t>
      </w:r>
    </w:p>
    <w:p>
      <w:pPr>
        <w:pStyle w:val="BodyText"/>
      </w:pPr>
      <w:r>
        <w:t xml:space="preserve">142 Fleet Street, London EC4Y 1AA, United Kingdom</w:t>
      </w:r>
    </w:p>
    <w:p>
      <w:pPr>
        <w:pStyle w:val="BodyText"/>
      </w:pPr>
      <w:r>
        <w:t xml:space="preserve">Company Registration No. 08765432 | VAT No. GB 123 4567 89</w:t>
      </w:r>
    </w:p>
    <w:p>
      <w:pPr>
        <w:pStyle w:val="BodyText"/>
      </w:pPr>
      <w:r>
        <w:t xml:space="preserve">Telephone: +44 (0)20 7946 0000 | Email: procurement@thamesvalley.co.uk</w:t>
      </w:r>
    </w:p>
    <w:bookmarkEnd w:id="20"/>
    <w:p>
      <w:pPr>
        <w:pStyle w:val="BodyText"/>
      </w:pPr>
      <w:r>
        <w:rPr>
          <w:bCs/>
          <w:b/>
        </w:rPr>
        <w:t xml:space="preserve">Purchase Order No.:</w:t>
      </w:r>
      <w:r>
        <w:t xml:space="preserve"> </w:t>
      </w:r>
      <w:r>
        <w:t xml:space="preserve">PO-2025-LON-00487</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01 September 2025</w:t>
      </w:r>
    </w:p>
    <w:p>
      <w:pPr>
        <w:pStyle w:val="BodyText"/>
      </w:pPr>
      <w:r>
        <w:rPr>
          <w:bCs/>
          <w:b/>
        </w:rPr>
        <w:t xml:space="preserve">Payment Terms:</w:t>
      </w:r>
      <w:r>
        <w:t xml:space="preserve"> </w:t>
      </w:r>
      <w:r>
        <w:t xml:space="preserve">Net 30 Days</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Mr. James A. Whitfield, Chartered Accountant (ACCA, FCA)</w:t>
            </w:r>
          </w:p>
        </w:tc>
      </w:tr>
      <w:tr>
        <w:tc>
          <w:tcPr/>
          <w:p>
            <w:pPr>
              <w:pStyle w:val="Compact"/>
              <w:jc w:val="left"/>
            </w:pPr>
            <w:r>
              <w:rPr>
                <w:bCs/>
                <w:b/>
              </w:rPr>
              <w:t xml:space="preserve">Professional Firm</w:t>
            </w:r>
          </w:p>
        </w:tc>
        <w:tc>
          <w:tcPr/>
          <w:p>
            <w:pPr>
              <w:pStyle w:val="Compact"/>
              <w:jc w:val="left"/>
            </w:pPr>
            <w:r>
              <w:t xml:space="preserve">Whitfield &amp; Associates Accountancy LLP</w:t>
            </w:r>
          </w:p>
        </w:tc>
      </w:tr>
      <w:tr>
        <w:tc>
          <w:tcPr/>
          <w:p>
            <w:pPr>
              <w:pStyle w:val="Compact"/>
              <w:jc w:val="left"/>
            </w:pPr>
            <w:r>
              <w:rPr>
                <w:bCs/>
                <w:b/>
              </w:rPr>
              <w:t xml:space="preserve">Address</w:t>
            </w:r>
          </w:p>
        </w:tc>
        <w:tc>
          <w:tcPr/>
          <w:p>
            <w:pPr>
              <w:pStyle w:val="Compact"/>
              <w:jc w:val="left"/>
            </w:pPr>
            <w:r>
              <w:t xml:space="preserve">8 Cannon Row, Chancery Lane, London WC2A 1JH, United Kingdom</w:t>
            </w:r>
          </w:p>
        </w:tc>
      </w:tr>
      <w:tr>
        <w:tc>
          <w:tcPr/>
          <w:p>
            <w:pPr>
              <w:pStyle w:val="Compact"/>
              <w:jc w:val="left"/>
            </w:pPr>
            <w:r>
              <w:rPr>
                <w:bCs/>
                <w:b/>
              </w:rPr>
              <w:t xml:space="preserve">ICAEW Registration</w:t>
            </w:r>
          </w:p>
        </w:tc>
        <w:tc>
          <w:tcPr/>
          <w:p>
            <w:pPr>
              <w:pStyle w:val="Compact"/>
              <w:jc w:val="left"/>
            </w:pPr>
            <w:r>
              <w:t xml:space="preserve">Member No. 1048723</w:t>
            </w:r>
          </w:p>
        </w:tc>
      </w:tr>
      <w:tr>
        <w:tc>
          <w:tcPr/>
          <w:p>
            <w:pPr>
              <w:pStyle w:val="Compact"/>
              <w:jc w:val="left"/>
            </w:pPr>
            <w:r>
              <w:rPr>
                <w:bCs/>
                <w:b/>
              </w:rPr>
              <w:t xml:space="preserve">VAT Registration</w:t>
            </w:r>
          </w:p>
        </w:tc>
        <w:tc>
          <w:tcPr/>
          <w:p>
            <w:pPr>
              <w:pStyle w:val="Compact"/>
              <w:jc w:val="left"/>
            </w:pPr>
            <w:r>
              <w:t xml:space="preserve">GB 987 6543 21</w:t>
            </w:r>
          </w:p>
        </w:tc>
      </w:tr>
      <w:tr>
        <w:tc>
          <w:tcPr/>
          <w:p>
            <w:pPr>
              <w:pStyle w:val="Compact"/>
              <w:jc w:val="left"/>
            </w:pPr>
            <w:r>
              <w:rPr>
                <w:bCs/>
                <w:b/>
              </w:rPr>
              <w:t xml:space="preserve">Contact Email</w:t>
            </w:r>
          </w:p>
        </w:tc>
        <w:tc>
          <w:tcPr/>
          <w:p>
            <w:pPr>
              <w:pStyle w:val="Compact"/>
              <w:jc w:val="left"/>
            </w:pPr>
            <w:r>
              <w:t xml:space="preserve">j.whitfield@whitfieldaccountancy.co.uk</w:t>
            </w:r>
          </w:p>
        </w:tc>
      </w:tr>
      <w:tr>
        <w:tc>
          <w:tcPr/>
          <w:p>
            <w:pPr>
              <w:pStyle w:val="Compact"/>
              <w:jc w:val="left"/>
            </w:pPr>
            <w:r>
              <w:rPr>
                <w:bCs/>
                <w:b/>
              </w:rPr>
              <w:t xml:space="preserve">Telephone</w:t>
            </w:r>
          </w:p>
        </w:tc>
        <w:tc>
          <w:tcPr/>
          <w:p>
            <w:pPr>
              <w:pStyle w:val="Compact"/>
              <w:jc w:val="left"/>
            </w:pPr>
            <w:r>
              <w:t xml:space="preserve">+44 (0)20 7837 2200</w:t>
            </w:r>
          </w:p>
        </w:tc>
      </w:tr>
    </w:tbl>
    <w:bookmarkEnd w:id="21"/>
    <w:bookmarkStart w:id="22" w:name="X76734dab62c4830c2b8ec883d1aee07ec854cc3"/>
    <w:p>
      <w:pPr>
        <w:pStyle w:val="Heading2"/>
      </w:pPr>
      <w:r>
        <w:t xml:space="preserve">2. Description of Services – Engagement of Accountant</w:t>
      </w:r>
    </w:p>
    <w:p>
      <w:pPr>
        <w:pStyle w:val="FirstParagraph"/>
      </w:pPr>
      <w:r>
        <w:t xml:space="preserve">This Purchase Order is issued by Thames Valley Corporate Services Ltd. (hereinafter referred to as the "Purchaser") to formally engage the services of Mr. James A. Whitfield, a qualified and practising Accountant, for the provision of comprehensive financial, tax, and advisory services within the jurisdiction of United Kingdom London. The engagement of this Accountant is required to support the Purchaser's ongoing statutory compliance obligations, internal financial governance, and strategic financial planning for the fiscal year 2025/2026.</w:t>
      </w:r>
    </w:p>
    <w:p>
      <w:pPr>
        <w:pStyle w:val="BodyText"/>
      </w:pPr>
      <w:r>
        <w:t xml:space="preserve">The Accountant shall be responsible for the preparation and submission of all statutory accounts in accordance with the Companies Act 2006, the filing of Corporation Tax returns with Her Majesty's Revenue and Customs (HMRC), the maintenance of accurate double-entry ledgers, the preparation of monthly management accounts, and the provision of professional tax advisory services in line with current United Kingdom legislation. All work shall be conducted in strict compliance with the ethical standards set forth by the Institute of Chartered Accountants in England and Wales (ICAEW) and the Financial Reporting Council (FRC).</w:t>
      </w:r>
    </w:p>
    <w:bookmarkEnd w:id="22"/>
    <w:bookmarkStart w:id="23" w:name="schedule-of-services-and-charges"/>
    <w:p>
      <w:pPr>
        <w:pStyle w:val="Heading2"/>
      </w:pPr>
      <w:r>
        <w:t xml:space="preserve">3. Schedule of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t xml:space="preserve">Preparation and filing of annual statutory accounts (Companies Act 2006 compliance)</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Corporation Tax return preparation and HMRC submission (United Kingdom London jurisdiction)</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management accounts, P&amp;L, and balance sheet preparation</w:t>
            </w:r>
          </w:p>
        </w:tc>
        <w:tc>
          <w:tcPr/>
          <w:p>
            <w:pPr>
              <w:pStyle w:val="Compact"/>
              <w:jc w:val="left"/>
            </w:pPr>
            <w:r>
              <w:t xml:space="preserve">Monthly (12)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VAT return preparation and quarterly filing (United Kingdom HMRC)</w:t>
            </w:r>
          </w:p>
        </w:tc>
        <w:tc>
          <w:tcPr/>
          <w:p>
            <w:pPr>
              <w:pStyle w:val="Compact"/>
              <w:jc w:val="left"/>
            </w:pPr>
            <w:r>
              <w:t xml:space="preserve">Quarterly (4)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Payroll processing and PAYE compliance for 25 employees</w:t>
            </w:r>
          </w:p>
        </w:tc>
        <w:tc>
          <w:tcPr/>
          <w:p>
            <w:pPr>
              <w:pStyle w:val="Compact"/>
              <w:jc w:val="left"/>
            </w:pPr>
            <w:r>
              <w:t xml:space="preserve">Monthly (12)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Advisory services: tax planning, cash flow forecasting, and budgeting</w:t>
            </w:r>
          </w:p>
        </w:tc>
        <w:tc>
          <w:tcPr/>
          <w:p>
            <w:pPr>
              <w:pStyle w:val="Compact"/>
              <w:jc w:val="left"/>
            </w:pPr>
            <w:r>
              <w:t xml:space="preserve">Quarterly (4)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Annual audit support and liaison with external auditors</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rPr>
                <w:bCs/>
                <w:b/>
              </w:rPr>
              <w:t xml:space="preserve">TOTAL ANNUAL FEE (Excluding VAT)</w:t>
            </w:r>
          </w:p>
        </w:tc>
        <w:tc>
          <w:tcPr/>
          <w:p>
            <w:pPr>
              <w:pStyle w:val="Compact"/>
              <w:jc w:val="left"/>
            </w:pPr>
            <w:r>
              <w:rPr>
                <w:bCs/>
                <w:b/>
              </w:rPr>
              <w:t xml:space="preserve">£51,500.00</w:t>
            </w:r>
          </w:p>
        </w:tc>
      </w:tr>
      <w:tr>
        <w:tc>
          <w:tcPr>
            <w:gridSpan w:val="4"/>
          </w:tcPr>
          <w:p>
            <w:pPr>
              <w:pStyle w:val="Compact"/>
              <w:jc w:val="left"/>
            </w:pPr>
            <w:r>
              <w:rPr>
                <w:bCs/>
                <w:b/>
              </w:rPr>
              <w:t xml:space="preserve">VAT @ 20% (United Kingdom Standard Rate)</w:t>
            </w:r>
          </w:p>
        </w:tc>
        <w:tc>
          <w:tcPr/>
          <w:p>
            <w:pPr>
              <w:pStyle w:val="Compact"/>
              <w:jc w:val="left"/>
            </w:pPr>
            <w:r>
              <w:rPr>
                <w:bCs/>
                <w:b/>
              </w:rPr>
              <w:t xml:space="preserve">£10,300.00</w:t>
            </w:r>
          </w:p>
        </w:tc>
      </w:tr>
      <w:tr>
        <w:tc>
          <w:tcPr>
            <w:gridSpan w:val="4"/>
          </w:tcPr>
          <w:p>
            <w:pPr>
              <w:pStyle w:val="Compact"/>
              <w:jc w:val="left"/>
            </w:pPr>
            <w:r>
              <w:rPr>
                <w:bCs/>
                <w:b/>
              </w:rPr>
              <w:t xml:space="preserve">TOTAL ANNUAL FEE (Including VAT)</w:t>
            </w:r>
          </w:p>
        </w:tc>
        <w:tc>
          <w:tcPr/>
          <w:p>
            <w:pPr>
              <w:pStyle w:val="Compact"/>
              <w:jc w:val="left"/>
            </w:pPr>
            <w:r>
              <w:rPr>
                <w:bCs/>
                <w:b/>
              </w:rPr>
              <w:t xml:space="preserve">£61,800.00</w:t>
            </w:r>
          </w:p>
        </w:tc>
      </w:tr>
    </w:tbl>
    <w:p>
      <w:pPr>
        <w:pStyle w:val="BodyText"/>
      </w:pPr>
      <w:r>
        <w:t xml:space="preserve">All fees are quoted in British Pounds Sterling (GBP). The Accountant shall issue a VAT-compliant invoice in accordance with the Value Added Tax Act 1994. Payment shall be made via BACS transfer to the account details provided on each invoice.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Purchaser and the Accountant upon signature by both parties. The terms of this engagement shall be governed by and construed in accordance with the laws of England and Wales, and the courts of United Kingdom London shall have exclusive jurisdiction over any disputes arising hereunder.</w:t>
      </w:r>
    </w:p>
    <w:p>
      <w:pPr>
        <w:pStyle w:val="BodyText"/>
      </w:pPr>
      <w:r>
        <w:rPr>
          <w:bCs/>
          <w:b/>
        </w:rPr>
        <w:t xml:space="preserve">4.2</w:t>
      </w:r>
      <w:r>
        <w:t xml:space="preserve"> </w:t>
      </w:r>
      <w:r>
        <w:t xml:space="preserve">The Accountant shall maintain professional indemnity insurance with a minimum cover of £5,000,000 for any single claim and shall provide a certificate of insurance upon request. The Accountant shall at all times comply with the Data Protection Act 2018 and the UK General Data Protection Regulation (UK GDPR) in the handling of all financial records and personal data.</w:t>
      </w:r>
    </w:p>
    <w:p>
      <w:pPr>
        <w:pStyle w:val="BodyText"/>
      </w:pPr>
      <w:r>
        <w:rPr>
          <w:bCs/>
          <w:b/>
        </w:rPr>
        <w:t xml:space="preserve">4.3</w:t>
      </w:r>
      <w:r>
        <w:t xml:space="preserve"> </w:t>
      </w:r>
      <w:r>
        <w:t xml:space="preserve">The Purchaser reserves the right to terminate this Purchase Order with thirty (30) days' written notice. In the event of termination, the Accountant shall be entitled to payment for all services rendered up to the date of termination, and shall hand over all financial records, working papers, and supporting documentation within fourteen (14) days.</w:t>
      </w:r>
    </w:p>
    <w:p>
      <w:pPr>
        <w:pStyle w:val="BodyText"/>
      </w:pPr>
      <w:r>
        <w:rPr>
          <w:bCs/>
          <w:b/>
        </w:rPr>
        <w:t xml:space="preserve">4.4</w:t>
      </w:r>
      <w:r>
        <w:t xml:space="preserve"> </w:t>
      </w:r>
      <w:r>
        <w:t xml:space="preserve">The Accountant shall not disclose any confidential financial information pertaining to the Purchaser to any third party without prior written consent, in accordance with the professional duty of confidentiality as defined by ICAEW's Code of Ethics.</w:t>
      </w:r>
    </w:p>
    <w:p>
      <w:pPr>
        <w:pStyle w:val="BodyText"/>
      </w:pPr>
      <w:r>
        <w:rPr>
          <w:bCs/>
          <w:b/>
        </w:rPr>
        <w:t xml:space="preserve">4.5</w:t>
      </w:r>
      <w:r>
        <w:t xml:space="preserve"> </w:t>
      </w:r>
      <w:r>
        <w:t xml:space="preserve">All deliverables, including but not limited to statutory accounts, tax returns, and management reports, shall be submitted in electronic format (PDF and XLSX) to the designated procurement email address of the Purchaser. Hard copies shall be provided upon specific request.</w:t>
      </w:r>
    </w:p>
    <w:p>
      <w:pPr>
        <w:pStyle w:val="BodyText"/>
      </w:pPr>
      <w:r>
        <w:rPr>
          <w:bCs/>
          <w:b/>
        </w:rPr>
        <w:t xml:space="preserve">4.6</w:t>
      </w:r>
      <w:r>
        <w:t xml:space="preserve"> </w:t>
      </w:r>
      <w:r>
        <w:t xml:space="preserve">The Accountant shall attend a minimum of two (2) in-person meetings per quarter at the Purchaser's registered office in London, United Kingdom, to discuss financial performance, upcoming compliance deadlines, and strategic planning matters.</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be bound by the terms and conditions set forth in this Purchase Order. This document authorises the engagement of the named Accountant for the services described herein and confirms the financial commitment of the Purchaser for the duration of the engagement period.</w:t>
      </w:r>
    </w:p>
    <w:p>
      <w:pPr>
        <w:pStyle w:val="BodyText"/>
      </w:pPr>
      <w:r>
        <w:rPr>
          <w:bCs/>
          <w:b/>
        </w:rPr>
        <w:t xml:space="preserve">For and on behalf of the Purchaser:</w:t>
      </w:r>
    </w:p>
    <w:p>
      <w:pPr>
        <w:pStyle w:val="BodyText"/>
      </w:pPr>
      <w:r>
        <w:t xml:space="preserve">Thames Valley Corporate Services Ltd.</w:t>
      </w:r>
    </w:p>
    <w:p>
      <w:pPr>
        <w:pStyle w:val="BodyText"/>
      </w:pPr>
      <w:r>
        <w:rPr>
          <w:bCs/>
          <w:b/>
        </w:rPr>
        <w:t xml:space="preserve">Name:</w:t>
      </w:r>
      <w:r>
        <w:t xml:space="preserve"> </w:t>
      </w:r>
      <w:r>
        <w:t xml:space="preserve">Sarah M. Henderson</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Accountant:</w:t>
      </w:r>
    </w:p>
    <w:p>
      <w:pPr>
        <w:pStyle w:val="BodyText"/>
      </w:pPr>
      <w:r>
        <w:t xml:space="preserve">Whitfield &amp; Associates Accountancy LLP</w:t>
      </w:r>
    </w:p>
    <w:p>
      <w:pPr>
        <w:pStyle w:val="BodyText"/>
      </w:pPr>
      <w:r>
        <w:rPr>
          <w:bCs/>
          <w:b/>
        </w:rPr>
        <w:t xml:space="preserve">Name:</w:t>
      </w:r>
      <w:r>
        <w:t xml:space="preserve"> </w:t>
      </w:r>
      <w:r>
        <w:t xml:space="preserve">James A. Whitfield, FCA</w:t>
      </w:r>
      <w:r>
        <w:br/>
      </w:r>
      <w:r>
        <w:rPr>
          <w:bCs/>
          <w:b/>
        </w:rPr>
        <w:t xml:space="preserve">Title:</w:t>
      </w:r>
      <w:r>
        <w:t xml:space="preserve"> </w:t>
      </w:r>
      <w:r>
        <w:t xml:space="preserve">Principal Accountant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(PO-2025-LON-00487) is issued by Thames Valley Corporate Services Ltd., registered in England and Wales, with its principal place of business in London, United Kingdom. This document is valid for a period of twelve (12) months from the date of issue unless otherwise extended in writing. All references to "United Kingdom London" in this document refer to the Greater London area and the legal jurisdiction of England and Wales. The Accountant engaged under this Purchase Order shall perform all duties in accordance with the professional standards of ICAEW and applicable United Kingdom legislation.</w:t>
      </w:r>
    </w:p>
    <w:p>
      <w:pPr>
        <w:pStyle w:val="BodyText"/>
      </w:pPr>
      <w:r>
        <w:t xml:space="preserve">© 2025 Thames Valley Corporate Services Ltd. All rights reserved. Document reference: PO-2025-LON-00487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Kingdom London</dc:title>
  <dc:creator/>
  <dc:language>en</dc:language>
  <cp:keywords/>
  <dcterms:created xsi:type="dcterms:W3CDTF">2026-10-10T08:50:12Z</dcterms:created>
  <dcterms:modified xsi:type="dcterms:W3CDTF">2026-10-10T08:50:12Z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