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Accountant Services Engagement</w:t>
      </w:r>
    </w:p>
    <w:p>
      <w:pPr>
        <w:pStyle w:val="BodyText"/>
      </w:pPr>
      <w:r>
        <w:t xml:space="preserve">Issued in United States Miami, Florida</w:t>
      </w:r>
    </w:p>
    <w:p>
      <w:pPr>
        <w:pStyle w:val="BodyText"/>
      </w:pPr>
      <w:r>
        <w:t xml:space="preserve">PO No.: USM-2025-04871</w:t>
      </w:r>
    </w:p>
    <w:bookmarkEnd w:id="20"/>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Biscayne Bay Holdings LLC</w:t>
      </w:r>
    </w:p>
    <w:p>
      <w:pPr>
        <w:pStyle w:val="BodyText"/>
      </w:pPr>
      <w:r>
        <w:rPr>
          <w:bCs/>
          <w:b/>
        </w:rPr>
        <w:t xml:space="preserve">Address:</w:t>
      </w:r>
      <w:r>
        <w:t xml:space="preserve"> </w:t>
      </w:r>
      <w:r>
        <w:t xml:space="preserve">301 Biscayne Blvd, Suite 1200, United States Miami, FL 33132</w:t>
      </w:r>
    </w:p>
    <w:p>
      <w:pPr>
        <w:pStyle w:val="BodyText"/>
      </w:pPr>
      <w:r>
        <w:rPr>
          <w:bCs/>
          <w:b/>
        </w:rPr>
        <w:t xml:space="preserve">Contact:</w:t>
      </w:r>
      <w:r>
        <w:t xml:space="preserve"> </w:t>
      </w:r>
      <w:r>
        <w:t xml:space="preserve">Margaret Ellison, Chief Financial Officer</w:t>
      </w:r>
    </w:p>
    <w:p>
      <w:pPr>
        <w:pStyle w:val="BodyText"/>
      </w:pPr>
      <w:r>
        <w:rPr>
          <w:bCs/>
          <w:b/>
        </w:rPr>
        <w:t xml:space="preserve">Email:</w:t>
      </w:r>
      <w:r>
        <w:t xml:space="preserve"> </w:t>
      </w:r>
      <w:r>
        <w:t xml:space="preserve">m.ellison@biscaynebayholdings.com</w:t>
      </w:r>
    </w:p>
    <w:p>
      <w:pPr>
        <w:pStyle w:val="BodyText"/>
      </w:pPr>
      <w:r>
        <w:rPr>
          <w:bCs/>
          <w:b/>
        </w:rPr>
        <w:t xml:space="preserve">Phone:</w:t>
      </w:r>
      <w:r>
        <w:t xml:space="preserve"> </w:t>
      </w:r>
      <w:r>
        <w:t xml:space="preserve">(305) 555-0147</w:t>
      </w:r>
    </w:p>
    <w:p>
      <w:pPr>
        <w:pStyle w:val="BodyText"/>
      </w:pPr>
      <w:r>
        <w:rPr>
          <w:bCs/>
          <w:b/>
        </w:rPr>
        <w:t xml:space="preserve">EIN:</w:t>
      </w:r>
      <w:r>
        <w:t xml:space="preserve"> </w:t>
      </w:r>
      <w:r>
        <w:t xml:space="preserve">82-4471903</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Coral Gables Accounting Partners, P.A.</w:t>
      </w:r>
    </w:p>
    <w:p>
      <w:pPr>
        <w:pStyle w:val="BodyText"/>
      </w:pPr>
      <w:r>
        <w:rPr>
          <w:bCs/>
          <w:b/>
        </w:rPr>
        <w:t xml:space="preserve">Address:</w:t>
      </w:r>
      <w:r>
        <w:t xml:space="preserve"> </w:t>
      </w:r>
      <w:r>
        <w:t xml:space="preserve">1000 Coral Way, Floor 4, United States Miami, FL 33145</w:t>
      </w:r>
    </w:p>
    <w:p>
      <w:pPr>
        <w:pStyle w:val="BodyText"/>
      </w:pPr>
      <w:r>
        <w:rPr>
          <w:bCs/>
          <w:b/>
        </w:rPr>
        <w:t xml:space="preserve">Contact:</w:t>
      </w:r>
      <w:r>
        <w:t xml:space="preserve"> </w:t>
      </w:r>
      <w:r>
        <w:t xml:space="preserve">Dr. Rafael Ortiz, CPA, Lead Accountant</w:t>
      </w:r>
    </w:p>
    <w:p>
      <w:pPr>
        <w:pStyle w:val="BodyText"/>
      </w:pPr>
      <w:r>
        <w:rPr>
          <w:bCs/>
          <w:b/>
        </w:rPr>
        <w:t xml:space="preserve">Email:</w:t>
      </w:r>
      <w:r>
        <w:t xml:space="preserve"> </w:t>
      </w:r>
      <w:r>
        <w:t xml:space="preserve">r.ortiz@coralgablesaccounting.com</w:t>
      </w:r>
    </w:p>
    <w:p>
      <w:pPr>
        <w:pStyle w:val="BodyText"/>
      </w:pPr>
      <w:r>
        <w:rPr>
          <w:bCs/>
          <w:b/>
        </w:rPr>
        <w:t xml:space="preserve">Phone:</w:t>
      </w:r>
      <w:r>
        <w:t xml:space="preserve"> </w:t>
      </w:r>
      <w:r>
        <w:t xml:space="preserve">(305) 555-0293</w:t>
      </w:r>
    </w:p>
    <w:p>
      <w:pPr>
        <w:pStyle w:val="BodyText"/>
      </w:pPr>
      <w:r>
        <w:rPr>
          <w:bCs/>
          <w:b/>
        </w:rPr>
        <w:t xml:space="preserve">FL License No.:</w:t>
      </w:r>
      <w:r>
        <w:t xml:space="preserve"> </w:t>
      </w:r>
      <w:r>
        <w:t xml:space="preserve">CPA-FL-2019-8842</w:t>
      </w:r>
    </w:p>
    <w:bookmarkEnd w:id="22"/>
    <w:p>
      <w:pPr>
        <w:pStyle w:val="BodyText"/>
      </w:pPr>
      <w:r>
        <w:t xml:space="preserve">Purchase Order Details</w:t>
      </w:r>
    </w:p>
    <w:p>
      <w:pPr>
        <w:pStyle w:val="BodyText"/>
      </w:pPr>
      <w:r>
        <w:rPr>
          <w:bCs/>
          <w:b/>
        </w:rPr>
        <w:t xml:space="preserve">Date of Issue:</w:t>
      </w:r>
      <w:r>
        <w:t xml:space="preserve"> </w:t>
      </w:r>
      <w:r>
        <w:t xml:space="preserve">June 12, 2025</w:t>
      </w:r>
    </w:p>
    <w:p>
      <w:pPr>
        <w:pStyle w:val="BodyText"/>
      </w:pPr>
      <w:r>
        <w:rPr>
          <w:bCs/>
          <w:b/>
        </w:rPr>
        <w:t xml:space="preserve">Required Service Start:</w:t>
      </w:r>
      <w:r>
        <w:t xml:space="preserve"> </w:t>
      </w:r>
      <w:r>
        <w:t xml:space="preserve">July 1, 2025</w:t>
      </w:r>
    </w:p>
    <w:p>
      <w:pPr>
        <w:pStyle w:val="BodyText"/>
      </w:pPr>
      <w:r>
        <w:rPr>
          <w:bCs/>
          <w:b/>
        </w:rPr>
        <w:t xml:space="preserve">Service Duration:</w:t>
      </w:r>
      <w:r>
        <w:t xml:space="preserve"> </w:t>
      </w:r>
      <w:r>
        <w:t xml:space="preserve">12 months (July 1, 2025 – June 30, 2026)</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United States Dollars (USD)</w:t>
      </w:r>
    </w:p>
    <w:p>
      <w:pPr>
        <w:pStyle w:val="BodyText"/>
      </w:pPr>
      <w:r>
        <w:rPr>
          <w:bCs/>
          <w:b/>
        </w:rPr>
        <w:t xml:space="preserve">Governing Jurisdiction:</w:t>
      </w:r>
      <w:r>
        <w:t xml:space="preserve"> </w:t>
      </w:r>
      <w:r>
        <w:t xml:space="preserve">State of Florida, United States Miami</w:t>
      </w:r>
    </w:p>
    <w:p>
      <w:pPr>
        <w:pStyle w:val="BodyText"/>
      </w:pPr>
      <w:r>
        <w:t xml:space="preserve">Scope of Accountant Services</w:t>
      </w:r>
    </w:p>
    <w:p>
      <w:pPr>
        <w:pStyle w:val="BodyText"/>
      </w:pPr>
      <w:r>
        <w:t xml:space="preserve">This Purchase Order is issued by Biscayne Bay Holdings LLC to formally engage the professional services of Dr. Rafael Ortiz and his team at Coral Gables Accounting Partners, P.A., a licensed Accountant firm operating in United States Miami. The Accountant and associated staff shall provide comprehensive financial, tax, and advisory services as detailed in the line items below. All services shall be performed in accordance with Generally Accepted Accounting Principles (GAAP) and applicable federal and Florida state regulations governing the practice of Accountant professionals in the United States.</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Accountant Services</w:t>
            </w:r>
          </w:p>
        </w:tc>
        <w:tc>
          <w:tcPr/>
          <w:p>
            <w:pPr>
              <w:pStyle w:val="Compact"/>
              <w:jc w:val="left"/>
            </w:pPr>
            <w:r>
              <w:t xml:space="preserve">Frequency</w:t>
            </w:r>
          </w:p>
        </w:tc>
        <w:tc>
          <w:tcPr/>
          <w:p>
            <w:pPr>
              <w:pStyle w:val="Compact"/>
              <w:jc w:val="left"/>
            </w:pPr>
            <w:r>
              <w:t xml:space="preserve">Unit Price (USD)</w:t>
            </w:r>
          </w:p>
        </w:tc>
        <w:tc>
          <w:tcPr/>
          <w:p>
            <w:pPr>
              <w:pStyle w:val="Compact"/>
              <w:jc w:val="left"/>
            </w:pPr>
            <w:r>
              <w:t xml:space="preserve">Annual Total (USD)</w:t>
            </w:r>
          </w:p>
        </w:tc>
      </w:tr>
      <w:tr>
        <w:tc>
          <w:tcPr/>
          <w:p>
            <w:pPr>
              <w:pStyle w:val="Compact"/>
              <w:jc w:val="left"/>
            </w:pPr>
            <w:r>
              <w:t xml:space="preserve">001</w:t>
            </w:r>
          </w:p>
        </w:tc>
        <w:tc>
          <w:tcPr/>
          <w:p>
            <w:pPr>
              <w:pStyle w:val="Compact"/>
              <w:jc w:val="left"/>
            </w:pPr>
            <w:r>
              <w:t xml:space="preserve">Monthly financial statement preparation and reconciliation (balance sheet, income statement, cash flow) performed by the designated Accountant</w:t>
            </w:r>
          </w:p>
        </w:tc>
        <w:tc>
          <w:tcPr/>
          <w:p>
            <w:pPr>
              <w:pStyle w:val="Compact"/>
              <w:jc w:val="left"/>
            </w:pPr>
            <w:r>
              <w:t xml:space="preserve">Monthly (12x)</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002</w:t>
            </w:r>
          </w:p>
        </w:tc>
        <w:tc>
          <w:tcPr/>
          <w:p>
            <w:pPr>
              <w:pStyle w:val="Compact"/>
              <w:jc w:val="left"/>
            </w:pPr>
            <w:r>
              <w:t xml:space="preserve">Quarterly tax filing and compliance review for federal (IRS) and Florida state obligations, conducted by the Lead Accountant</w:t>
            </w:r>
          </w:p>
        </w:tc>
        <w:tc>
          <w:tcPr/>
          <w:p>
            <w:pPr>
              <w:pStyle w:val="Compact"/>
              <w:jc w:val="left"/>
            </w:pPr>
            <w:r>
              <w:t xml:space="preserve">Quarterly (4x)</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003</w:t>
            </w:r>
          </w:p>
        </w:tc>
        <w:tc>
          <w:tcPr/>
          <w:p>
            <w:pPr>
              <w:pStyle w:val="Compact"/>
              <w:jc w:val="left"/>
            </w:pPr>
            <w:r>
              <w:t xml:space="preserve">Annual audit support and internal control assessment for the fiscal year, performed by the Accountant team in United States Miami</w:t>
            </w:r>
          </w:p>
        </w:tc>
        <w:tc>
          <w:tcPr/>
          <w:p>
            <w:pPr>
              <w:pStyle w:val="Compact"/>
              <w:jc w:val="left"/>
            </w:pPr>
            <w:r>
              <w:t xml:space="preserve">Annually (1x)</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004</w:t>
            </w:r>
          </w:p>
        </w:tc>
        <w:tc>
          <w:tcPr/>
          <w:p>
            <w:pPr>
              <w:pStyle w:val="Compact"/>
              <w:jc w:val="left"/>
            </w:pPr>
            <w:r>
              <w:t xml:space="preserve">Payroll processing and employment tax compliance for up to 50 employees, managed by the Accountant staff</w:t>
            </w:r>
          </w:p>
        </w:tc>
        <w:tc>
          <w:tcPr/>
          <w:p>
            <w:pPr>
              <w:pStyle w:val="Compact"/>
              <w:jc w:val="left"/>
            </w:pPr>
            <w:r>
              <w:t xml:space="preserve">Monthly (12x)</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005</w:t>
            </w:r>
          </w:p>
        </w:tc>
        <w:tc>
          <w:tcPr/>
          <w:p>
            <w:pPr>
              <w:pStyle w:val="Compact"/>
              <w:jc w:val="left"/>
            </w:pPr>
            <w:r>
              <w:t xml:space="preserve">Ad-hoc financial advisory, budget forecasting, and strategic planning sessions with the senior Accountant</w:t>
            </w:r>
          </w:p>
        </w:tc>
        <w:tc>
          <w:tcPr/>
          <w:p>
            <w:pPr>
              <w:pStyle w:val="Compact"/>
              <w:jc w:val="left"/>
            </w:pPr>
            <w:r>
              <w:t xml:space="preserve">Bi-monthly (6x)</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006</w:t>
            </w:r>
          </w:p>
        </w:tc>
        <w:tc>
          <w:tcPr/>
          <w:p>
            <w:pPr>
              <w:pStyle w:val="Compact"/>
              <w:jc w:val="left"/>
            </w:pPr>
            <w:r>
              <w:t xml:space="preserve">Accounts payable and receivable management, vendor reconciliation, and cash flow optimization by the Accountant team</w:t>
            </w:r>
          </w:p>
        </w:tc>
        <w:tc>
          <w:tcPr/>
          <w:p>
            <w:pPr>
              <w:pStyle w:val="Compact"/>
              <w:jc w:val="left"/>
            </w:pPr>
            <w:r>
              <w:t xml:space="preserve">Monthly (12x)</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TOTAL ANNUAL CONTRACT VALUE:</w:t>
            </w:r>
          </w:p>
        </w:tc>
        <w:tc>
          <w:tcPr/>
          <w:p>
            <w:pPr>
              <w:pStyle w:val="Compact"/>
              <w:jc w:val="left"/>
            </w:pPr>
            <w:r>
              <w:t xml:space="preserve">$100,200.00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signature by both parties. The Accountant firm, Coral Gables Accounting Partners, P.A., acknowledges receipt and acceptance of this Purchase Order for the provision of professional Accountant services in United States Miami.</w:t>
      </w:r>
    </w:p>
    <w:p>
      <w:pPr>
        <w:numPr>
          <w:ilvl w:val="0"/>
          <w:numId w:val="1001"/>
        </w:numPr>
        <w:pStyle w:val="Compact"/>
      </w:pPr>
      <w:r>
        <w:rPr>
          <w:bCs/>
          <w:b/>
        </w:rPr>
        <w:t xml:space="preserve">Professional Standards:</w:t>
      </w:r>
      <w:r>
        <w:t xml:space="preserve"> </w:t>
      </w:r>
      <w:r>
        <w:t xml:space="preserve">The Accountant shall perform all duties in strict compliance with the AICPA Code of Professional Conduct, Florida Board of Accountancy regulations, and all applicable United States federal tax laws. The Accountant shall maintain professional independence and objectivity throughout the engagement period.</w:t>
      </w:r>
    </w:p>
    <w:p>
      <w:pPr>
        <w:numPr>
          <w:ilvl w:val="0"/>
          <w:numId w:val="1001"/>
        </w:numPr>
        <w:pStyle w:val="Compact"/>
      </w:pPr>
      <w:r>
        <w:rPr>
          <w:bCs/>
          <w:b/>
        </w:rPr>
        <w:t xml:space="preserve">Confidentiality:</w:t>
      </w:r>
      <w:r>
        <w:t xml:space="preserve"> </w:t>
      </w:r>
      <w:r>
        <w:t xml:space="preserve">The Accountant and all associated personnel shall maintain strict confidentiality regarding all financial records, proprietary data, and business information of Biscayne Bay Holdings LLC.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Invoices shall be submitted by the Accountant on the last business day of each month. Payment shall be remitted within thirty (30) calendar days of the invoice date via ACH transfer to the account designated by the Accountant firm in United States Miami. Late payments shall accrue interest at 1.5% per month.</w:t>
      </w:r>
    </w:p>
    <w:p>
      <w:pPr>
        <w:numPr>
          <w:ilvl w:val="0"/>
          <w:numId w:val="1001"/>
        </w:numPr>
        <w:pStyle w:val="Compact"/>
      </w:pPr>
      <w:r>
        <w:rPr>
          <w:bCs/>
          <w:b/>
        </w:rPr>
        <w:t xml:space="preserve">Service Location:</w:t>
      </w:r>
      <w:r>
        <w:t xml:space="preserve"> </w:t>
      </w:r>
      <w:r>
        <w:t xml:space="preserve">All on-site services shall be performed at the Purchasing Party's office located in United States Miami, FL 33132, or at the Accountant's office at 1000 Coral Way, United States Miami, FL 33145, as mutually agreed upon in writing.</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Accountant shall complete all outstanding work and deliver final financial reports within thirty (30) days of the termination effective date.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United States Miami, Florida. If mediation fails, disputes shall be subject to binding arbitration under the rules of the American Arbitration Association, with the seat of arbitration in United States Miami.</w:t>
      </w:r>
    </w:p>
    <w:p>
      <w:pPr>
        <w:numPr>
          <w:ilvl w:val="0"/>
          <w:numId w:val="1001"/>
        </w:numPr>
        <w:pStyle w:val="Compact"/>
      </w:pPr>
      <w:r>
        <w:rPr>
          <w:bCs/>
          <w:b/>
        </w:rPr>
        <w:t xml:space="preserve">Insurance:</w:t>
      </w:r>
      <w:r>
        <w:t xml:space="preserve"> </w:t>
      </w:r>
      <w:r>
        <w:t xml:space="preserve">The Accountant firm shall maintain professional liability insurance with a minimum coverage of $2,000,000 per occurrence and $5,000,000 aggregate, valid throughout the term of this Purchase Order.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United States Miami metropolitan area, acts of government, or pandemics.</w:t>
      </w:r>
    </w:p>
    <w:p>
      <w:pPr>
        <w:numPr>
          <w:ilvl w:val="0"/>
          <w:numId w:val="1001"/>
        </w:numPr>
        <w:pStyle w:val="Compact"/>
      </w:pPr>
      <w:r>
        <w:rPr>
          <w:bCs/>
          <w:b/>
        </w:rPr>
        <w:t xml:space="preserve">Amendments:</w:t>
      </w:r>
      <w:r>
        <w:t xml:space="preserve"> </w:t>
      </w:r>
      <w:r>
        <w:t xml:space="preserve">This Purchase Order may only be amended in writing, signed by authorized representatives of both parties. No verbal modifications to the scope of Accountant services or pricing shall be valid.</w:t>
      </w:r>
    </w:p>
    <w:p>
      <w:pPr>
        <w:pStyle w:val="FirstParagraph"/>
      </w:pPr>
      <w:r>
        <w:t xml:space="preserve">Authorization and Signatures</w:t>
      </w:r>
    </w:p>
    <w:p>
      <w:pPr>
        <w:pStyle w:val="BodyText"/>
      </w:pPr>
      <w:r>
        <w:t xml:space="preserve">By signing below, both parties acknowledge and agree to all terms, conditions, and service specifications outlined in this Purchase Order for the engagement of the Accountant in United States Miami.</w:t>
      </w:r>
    </w:p>
    <w:p>
      <w:pPr>
        <w:pStyle w:val="BodyText"/>
      </w:pPr>
      <w:r>
        <w:rPr>
          <w:bCs/>
          <w:b/>
        </w:rPr>
        <w:t xml:space="preserve">For Biscayne Bay Holdings LLC (Buyer)</w:t>
      </w:r>
      <w:r>
        <w:br/>
      </w:r>
      <w:r>
        <w:t xml:space="preserve">Margaret Ellison, CFO</w:t>
      </w:r>
      <w:r>
        <w:br/>
      </w:r>
      <w:r>
        <w:t xml:space="preserve">Date: _______________</w:t>
      </w:r>
    </w:p>
    <w:p>
      <w:pPr>
        <w:pStyle w:val="BodyText"/>
      </w:pPr>
      <w:r>
        <w:rPr>
          <w:bCs/>
          <w:b/>
        </w:rPr>
        <w:t xml:space="preserve">For Coral Gables Accounting Partners, P.A. (Accountant)</w:t>
      </w:r>
      <w:r>
        <w:br/>
      </w:r>
      <w:r>
        <w:t xml:space="preserve">Dr. Rafael Ortiz, CPA</w:t>
      </w:r>
      <w:r>
        <w:br/>
      </w:r>
      <w:r>
        <w:t xml:space="preserve">Date: _______________</w:t>
      </w:r>
    </w:p>
    <w:p>
      <w:pPr>
        <w:pStyle w:val="BodyText"/>
      </w:pPr>
      <w:r>
        <w:t xml:space="preserve">This Purchase Order (PO No. USM-2025-04871) was prepared and issued in United States Miami, Florida, United States of America.</w:t>
      </w:r>
    </w:p>
    <w:p>
      <w:pPr>
        <w:pStyle w:val="BodyText"/>
      </w:pPr>
      <w:r>
        <w:t xml:space="preserve">Document Classification: Confidential — For Internal Use Only — Page 1 of 1</w:t>
      </w:r>
    </w:p>
    <w:p>
      <w:pPr>
        <w:pStyle w:val="BodyText"/>
      </w:pPr>
      <w:r>
        <w:t xml:space="preserve">© 2025 Biscayne Bay Holdings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United States Miami</dc:title>
  <dc:creator/>
  <dc:language>en</dc:language>
  <cp:keywords/>
  <dcterms:created xsi:type="dcterms:W3CDTF">2026-10-10T08:42:00Z</dcterms:created>
  <dcterms:modified xsi:type="dcterms:W3CDTF">2026-10-10T08:42:00Z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