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0" w:name="purchase-order"/>
    <w:p>
      <w:pPr>
        <w:pStyle w:val="Heading1"/>
      </w:pPr>
      <w:r>
        <w:t xml:space="preserve">PURCHASE ORDER</w:t>
      </w:r>
    </w:p>
    <w:p>
      <w:pPr>
        <w:pStyle w:val="FirstParagraph"/>
      </w:pPr>
      <w:r>
        <w:t xml:space="preserve">Professional Accounting Services Procurement Document</w:t>
      </w:r>
    </w:p>
    <w:p>
      <w:pPr>
        <w:pStyle w:val="BodyText"/>
      </w:pPr>
      <w:r>
        <w:t xml:space="preserve">Issued for:</w:t>
      </w:r>
      <w:r>
        <w:t xml:space="preserve"> </w:t>
      </w:r>
      <w:r>
        <w:rPr>
          <w:bCs/>
          <w:b/>
        </w:rPr>
        <w:t xml:space="preserve">Uzbekistan Tashkent</w:t>
      </w:r>
      <w:r>
        <w:t xml:space="preserve"> </w:t>
      </w:r>
      <w:r>
        <w:t xml:space="preserve">Operations Division</w:t>
      </w:r>
    </w:p>
    <w:bookmarkEnd w:id="20"/>
    <w:bookmarkStart w:id="21" w:name="issuing-company-buyer"/>
    <w:p>
      <w:pPr>
        <w:pStyle w:val="Heading3"/>
      </w:pPr>
      <w:r>
        <w:t xml:space="preserve">Issuing Company (Buyer)</w:t>
      </w:r>
    </w:p>
    <w:p>
      <w:pPr>
        <w:pStyle w:val="FirstParagraph"/>
      </w:pPr>
      <w:r>
        <w:rPr>
          <w:bCs/>
          <w:b/>
        </w:rPr>
        <w:t xml:space="preserve">Tashkent Central Business Group LLC</w:t>
      </w:r>
      <w:r>
        <w:br/>
      </w:r>
      <w:r>
        <w:t xml:space="preserve">142 Amir Temur Avenue, Tashkent 100000</w:t>
      </w:r>
      <w:r>
        <w:br/>
      </w:r>
      <w:r>
        <w:t xml:space="preserve">Republic of Uzbekistan</w:t>
      </w:r>
      <w:r>
        <w:br/>
      </w:r>
      <w:r>
        <w:t xml:space="preserve">TIN: 123456789</w:t>
      </w:r>
      <w:r>
        <w:br/>
      </w:r>
      <w:r>
        <w:t xml:space="preserve">Phone: +998 (71) 200-45-67</w:t>
      </w:r>
      <w:r>
        <w:br/>
      </w:r>
      <w:r>
        <w:t xml:space="preserve">Email: procurement@tcbg.uz</w:t>
      </w:r>
    </w:p>
    <w:bookmarkEnd w:id="21"/>
    <w:bookmarkStart w:id="22" w:name="service-provider-vendor"/>
    <w:p>
      <w:pPr>
        <w:pStyle w:val="Heading3"/>
      </w:pPr>
      <w:r>
        <w:t xml:space="preserve">Service Provider (Vendor)</w:t>
      </w:r>
    </w:p>
    <w:p>
      <w:pPr>
        <w:pStyle w:val="FirstParagraph"/>
      </w:pPr>
      <w:r>
        <w:rPr>
          <w:bCs/>
          <w:b/>
        </w:rPr>
        <w:t xml:space="preserve">Professional Accounting &amp; Financial Services Co.</w:t>
      </w:r>
      <w:r>
        <w:br/>
      </w:r>
      <w:r>
        <w:t xml:space="preserve">56 Navoi Street, Tashkent 100084</w:t>
      </w:r>
      <w:r>
        <w:br/>
      </w:r>
      <w:r>
        <w:t xml:space="preserve">Republic of Uzbekistan</w:t>
      </w:r>
      <w:r>
        <w:br/>
      </w:r>
      <w:r>
        <w:t xml:space="preserve">TIN: 987654321</w:t>
      </w:r>
      <w:r>
        <w:br/>
      </w:r>
      <w:r>
        <w:t xml:space="preserve">Phone: +998 (71) 233-89-01</w:t>
      </w:r>
      <w:r>
        <w:br/>
      </w:r>
      <w:r>
        <w:t xml:space="preserve">Email: services@pacfs.uz</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PO-2025-TSK-0472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Delivery / Service Start Date:</w:t>
            </w:r>
          </w:p>
        </w:tc>
        <w:tc>
          <w:tcPr/>
          <w:p>
            <w:pPr>
              <w:pStyle w:val="Compact"/>
              <w:jc w:val="left"/>
            </w:pPr>
            <w:r>
              <w:t xml:space="preserve">01 July 2025</w:t>
            </w:r>
          </w:p>
        </w:tc>
      </w:tr>
      <w:tr>
        <w:tc>
          <w:tcPr/>
          <w:p>
            <w:pPr>
              <w:pStyle w:val="Compact"/>
              <w:jc w:val="left"/>
            </w:pPr>
            <w:r>
              <w:t xml:space="preserve">Service Location:</w:t>
            </w:r>
          </w:p>
        </w:tc>
        <w:tc>
          <w:tcPr/>
          <w:p>
            <w:pPr>
              <w:pStyle w:val="Compact"/>
              <w:jc w:val="left"/>
            </w:pPr>
            <w:r>
              <w:t xml:space="preserve">Uzbekistan Tashkent – Main Office, Amir Temur Avenue 142</w:t>
            </w:r>
          </w:p>
        </w:tc>
      </w:tr>
      <w:tr>
        <w:tc>
          <w:tcPr/>
          <w:p>
            <w:pPr>
              <w:pStyle w:val="Compact"/>
              <w:jc w:val="left"/>
            </w:pPr>
            <w:r>
              <w:t xml:space="preserve">Payment Terms:</w:t>
            </w:r>
          </w:p>
        </w:tc>
        <w:tc>
          <w:tcPr/>
          <w:p>
            <w:pPr>
              <w:pStyle w:val="Compact"/>
              <w:jc w:val="left"/>
            </w:pPr>
            <w:r>
              <w:t xml:space="preserve">Net 30 days from invoice date (in Uzbek Som – UZS)</w:t>
            </w:r>
          </w:p>
        </w:tc>
      </w:tr>
      <w:tr>
        <w:tc>
          <w:tcPr/>
          <w:p>
            <w:pPr>
              <w:pStyle w:val="Compact"/>
              <w:jc w:val="left"/>
            </w:pPr>
            <w:r>
              <w:t xml:space="preserve">Valid Until:</w:t>
            </w:r>
          </w:p>
        </w:tc>
        <w:tc>
          <w:tcPr/>
          <w:p>
            <w:pPr>
              <w:pStyle w:val="Compact"/>
              <w:jc w:val="left"/>
            </w:pPr>
            <w:r>
              <w:t xml:space="preserve">30 June 2025</w:t>
            </w:r>
          </w:p>
        </w:tc>
      </w:tr>
      <w:tr>
        <w:tc>
          <w:tcPr/>
          <w:p>
            <w:pPr>
              <w:pStyle w:val="Compact"/>
              <w:jc w:val="left"/>
            </w:pPr>
            <w:r>
              <w:t xml:space="preserve">Authorized By:</w:t>
            </w:r>
          </w:p>
        </w:tc>
        <w:tc>
          <w:tcPr/>
          <w:p>
            <w:pPr>
              <w:pStyle w:val="Compact"/>
              <w:jc w:val="left"/>
            </w:pPr>
            <w:r>
              <w:t xml:space="preserve">Director of Finance, Tashkent Central Business Group LLC</w:t>
            </w:r>
          </w:p>
        </w:tc>
      </w:tr>
    </w:tbl>
    <w:bookmarkStart w:id="23" w:name="description-of-procured-services"/>
    <w:p>
      <w:pPr>
        <w:pStyle w:val="Heading2"/>
      </w:pPr>
      <w:r>
        <w:t xml:space="preserve">1. Description of Procured Services</w:t>
      </w:r>
    </w:p>
    <w:p>
      <w:pPr>
        <w:pStyle w:val="FirstParagraph"/>
      </w:pPr>
      <w:r>
        <w:t xml:space="preserve">This</w:t>
      </w:r>
      <w:r>
        <w:t xml:space="preserve"> </w:t>
      </w:r>
      <w:r>
        <w:t xml:space="preserve">Purchase Order</w:t>
      </w:r>
      <w:r>
        <w:t xml:space="preserve"> </w:t>
      </w:r>
      <w:r>
        <w:t xml:space="preserve">is issued by Tashkent Central Business Group LLC to formally procure the professional services of a qualified</w:t>
      </w:r>
      <w:r>
        <w:t xml:space="preserve"> </w:t>
      </w:r>
      <w:r>
        <w:t xml:space="preserve">Accountant</w:t>
      </w:r>
      <w:r>
        <w:t xml:space="preserve"> </w:t>
      </w:r>
      <w:r>
        <w:t xml:space="preserve">to support the financial operations of our</w:t>
      </w:r>
      <w:r>
        <w:t xml:space="preserve"> </w:t>
      </w:r>
      <w:r>
        <w:t xml:space="preserve">Uzbekistan Tashkent</w:t>
      </w:r>
      <w:r>
        <w:t xml:space="preserve"> </w:t>
      </w:r>
      <w:r>
        <w:t xml:space="preserve">headquarters. The engagement is structured to ensure full compliance with the Tax Code of the Republic of Uzbekistan, the Accounting Law of Uzbekistan, and all applicable international financial reporting standards (IFRS) as adopted for use in the region.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(UZS)</w:t>
            </w:r>
          </w:p>
        </w:tc>
        <w:tc>
          <w:tcPr/>
          <w:p>
            <w:pPr>
              <w:pStyle w:val="Compact"/>
              <w:jc w:val="left"/>
            </w:pPr>
            <w:r>
              <w:t xml:space="preserve">Total (UZS)</w:t>
            </w:r>
          </w:p>
        </w:tc>
      </w:tr>
      <w:tr>
        <w:tc>
          <w:tcPr/>
          <w:p>
            <w:pPr>
              <w:pStyle w:val="Compact"/>
              <w:jc w:val="left"/>
            </w:pPr>
            <w:r>
              <w:t xml:space="preserve">1</w:t>
            </w:r>
          </w:p>
        </w:tc>
        <w:tc>
          <w:tcPr/>
          <w:p>
            <w:pPr>
              <w:pStyle w:val="Compact"/>
              <w:jc w:val="left"/>
            </w:pPr>
            <w:r>
              <w:t xml:space="preserve">Full-time</w:t>
            </w:r>
            <w:r>
              <w:t xml:space="preserve"> </w:t>
            </w:r>
            <w:r>
              <w:rPr>
                <w:bCs/>
                <w:b/>
              </w:rPr>
              <w:t xml:space="preserve">Accountant</w:t>
            </w:r>
            <w:r>
              <w:t xml:space="preserve"> </w:t>
            </w:r>
            <w:r>
              <w:t xml:space="preserve">services – monthly bookkeeping, journal entries, and ledger maintenance for the Uzbekistan Tashkent office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12,500,000</w:t>
            </w:r>
          </w:p>
        </w:tc>
        <w:tc>
          <w:tcPr/>
          <w:p>
            <w:pPr>
              <w:pStyle w:val="Compact"/>
              <w:jc w:val="left"/>
            </w:pPr>
            <w:r>
              <w:t xml:space="preserve">150,000,000</w:t>
            </w:r>
          </w:p>
        </w:tc>
      </w:tr>
      <w:tr>
        <w:tc>
          <w:tcPr/>
          <w:p>
            <w:pPr>
              <w:pStyle w:val="Compact"/>
              <w:jc w:val="left"/>
            </w:pPr>
            <w:r>
              <w:t xml:space="preserve">2</w:t>
            </w:r>
          </w:p>
        </w:tc>
        <w:tc>
          <w:tcPr/>
          <w:p>
            <w:pPr>
              <w:pStyle w:val="Compact"/>
              <w:jc w:val="left"/>
            </w:pPr>
            <w:r>
              <w:t xml:space="preserve">Preparation and filing of monthly VAT returns, personal income tax declarations, and social security contributions in compliance with Uzbekistan Tashkent municipal tax authority requirements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3,200,000</w:t>
            </w:r>
          </w:p>
        </w:tc>
        <w:tc>
          <w:tcPr/>
          <w:p>
            <w:pPr>
              <w:pStyle w:val="Compact"/>
              <w:jc w:val="left"/>
            </w:pPr>
            <w:r>
              <w:t xml:space="preserve">38,400,000</w:t>
            </w:r>
          </w:p>
        </w:tc>
      </w:tr>
      <w:tr>
        <w:tc>
          <w:tcPr/>
          <w:p>
            <w:pPr>
              <w:pStyle w:val="Compact"/>
              <w:jc w:val="left"/>
            </w:pPr>
            <w:r>
              <w:t xml:space="preserve">3</w:t>
            </w:r>
          </w:p>
        </w:tc>
        <w:tc>
          <w:tcPr/>
          <w:p>
            <w:pPr>
              <w:pStyle w:val="Compact"/>
              <w:jc w:val="left"/>
            </w:pPr>
            <w:r>
              <w:t xml:space="preserve">Quarterly financial statement preparation (Balance Sheet, Income Statement, Cash Flow) and annual audit support for the Uzbekistan Tashkent entity</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8,750,000</w:t>
            </w:r>
          </w:p>
        </w:tc>
        <w:tc>
          <w:tcPr/>
          <w:p>
            <w:pPr>
              <w:pStyle w:val="Compact"/>
              <w:jc w:val="left"/>
            </w:pPr>
            <w:r>
              <w:t xml:space="preserve">35,000,000</w:t>
            </w:r>
          </w:p>
        </w:tc>
      </w:tr>
      <w:tr>
        <w:tc>
          <w:tcPr/>
          <w:p>
            <w:pPr>
              <w:pStyle w:val="Compact"/>
              <w:jc w:val="left"/>
            </w:pPr>
            <w:r>
              <w:t xml:space="preserve">4</w:t>
            </w:r>
          </w:p>
        </w:tc>
        <w:tc>
          <w:tcPr/>
          <w:p>
            <w:pPr>
              <w:pStyle w:val="Compact"/>
              <w:jc w:val="left"/>
            </w:pPr>
            <w:r>
              <w:t xml:space="preserve">Reconciliation of bank accounts, intercompany transactions, and vendor/customer accounts payable and receivable management</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2,800,000</w:t>
            </w:r>
          </w:p>
        </w:tc>
        <w:tc>
          <w:tcPr/>
          <w:p>
            <w:pPr>
              <w:pStyle w:val="Compact"/>
              <w:jc w:val="left"/>
            </w:pPr>
            <w:r>
              <w:t xml:space="preserve">33,600,000</w:t>
            </w:r>
          </w:p>
        </w:tc>
      </w:tr>
      <w:tr>
        <w:tc>
          <w:tcPr/>
          <w:p>
            <w:pPr>
              <w:pStyle w:val="Compact"/>
              <w:jc w:val="left"/>
            </w:pPr>
            <w:r>
              <w:t xml:space="preserve">5</w:t>
            </w:r>
          </w:p>
        </w:tc>
        <w:tc>
          <w:tcPr/>
          <w:p>
            <w:pPr>
              <w:pStyle w:val="Compact"/>
              <w:jc w:val="left"/>
            </w:pPr>
            <w:r>
              <w:t xml:space="preserve">Advisory support on Uzbek tax legislation updates, transfer pricing documentation, and regulatory compliance for operations within Uzbekistan Tashkent</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1,500,000</w:t>
            </w:r>
          </w:p>
        </w:tc>
        <w:tc>
          <w:tcPr/>
          <w:p>
            <w:pPr>
              <w:pStyle w:val="Compact"/>
              <w:jc w:val="left"/>
            </w:pPr>
            <w:r>
              <w:t xml:space="preserve">18,000,000</w:t>
            </w:r>
          </w:p>
        </w:tc>
      </w:tr>
      <w:tr>
        <w:tc>
          <w:tcPr>
            <w:gridSpan w:val="5"/>
          </w:tcPr>
          <w:p>
            <w:pPr>
              <w:pStyle w:val="Compact"/>
              <w:jc w:val="right"/>
            </w:pPr>
            <w:r>
              <w:t xml:space="preserve">TOTAL CONTRACT VALUE:</w:t>
            </w:r>
          </w:p>
        </w:tc>
        <w:tc>
          <w:tcPr/>
          <w:p>
            <w:pPr>
              <w:pStyle w:val="Compact"/>
              <w:jc w:val="left"/>
            </w:pPr>
            <w:r>
              <w:t xml:space="preserve">275,000,000 UZS</w:t>
            </w:r>
          </w:p>
        </w:tc>
      </w:tr>
    </w:tbl>
    <w:bookmarkEnd w:id="23"/>
    <w:bookmarkStart w:id="24" w:name="scope-of-the-accountant-engagement"/>
    <w:p>
      <w:pPr>
        <w:pStyle w:val="Heading2"/>
      </w:pPr>
      <w:r>
        <w:t xml:space="preserve">2. Scope of the Accountant Engagement</w:t>
      </w:r>
    </w:p>
    <w:p>
      <w:pPr>
        <w:pStyle w:val="FirstParagraph"/>
      </w:pPr>
      <w:r>
        <w:t xml:space="preserve">The</w:t>
      </w:r>
      <w:r>
        <w:t xml:space="preserve"> </w:t>
      </w:r>
      <w:r>
        <w:t xml:space="preserve">Accountant</w:t>
      </w:r>
      <w:r>
        <w:t xml:space="preserve"> </w:t>
      </w:r>
      <w:r>
        <w:t xml:space="preserve">engaged under this</w:t>
      </w:r>
      <w:r>
        <w:t xml:space="preserve"> </w:t>
      </w:r>
      <w:r>
        <w:t xml:space="preserve">Purchase Order</w:t>
      </w:r>
      <w:r>
        <w:t xml:space="preserve"> </w:t>
      </w:r>
      <w:r>
        <w:t xml:space="preserve">shall perform the following duties exclusively at the</w:t>
      </w:r>
      <w:r>
        <w:t xml:space="preserve"> </w:t>
      </w:r>
      <w:r>
        <w:t xml:space="preserve">Uzbekistan Tashkent</w:t>
      </w:r>
      <w:r>
        <w:t xml:space="preserve"> </w:t>
      </w:r>
      <w:r>
        <w:t xml:space="preserve">office premises or as otherwise directed by the Buyer's Finance Director:</w:t>
      </w:r>
    </w:p>
    <w:p>
      <w:pPr>
        <w:numPr>
          <w:ilvl w:val="0"/>
          <w:numId w:val="1001"/>
        </w:numPr>
        <w:pStyle w:val="Compact"/>
      </w:pPr>
      <w:r>
        <w:t xml:space="preserve">Maintain accurate and complete double-entry bookkeeping records in accordance with the Chart of Accounts approved for the Uzbekistan Tashkent entity.</w:t>
      </w:r>
    </w:p>
    <w:p>
      <w:pPr>
        <w:numPr>
          <w:ilvl w:val="0"/>
          <w:numId w:val="1001"/>
        </w:numPr>
        <w:pStyle w:val="Compact"/>
      </w:pPr>
      <w:r>
        <w:t xml:space="preserve">Process all accounts payable and accounts receivable transactions, ensuring timely payment to suppliers and collection from clients operating within and outside Uzbekistan Tashkent.</w:t>
      </w:r>
    </w:p>
    <w:p>
      <w:pPr>
        <w:numPr>
          <w:ilvl w:val="0"/>
          <w:numId w:val="1001"/>
        </w:numPr>
        <w:pStyle w:val="Compact"/>
      </w:pPr>
      <w:r>
        <w:t xml:space="preserve">Prepare monthly management reports, budget variance analyses, and cash flow forecasts for senior leadership review.</w:t>
      </w:r>
    </w:p>
    <w:p>
      <w:pPr>
        <w:numPr>
          <w:ilvl w:val="0"/>
          <w:numId w:val="1001"/>
        </w:numPr>
        <w:pStyle w:val="Compact"/>
      </w:pPr>
      <w:r>
        <w:t xml:space="preserve">Coordinate with external auditors during the annual statutory audit of the Uzbekistan Tashkent financial statements.</w:t>
      </w:r>
    </w:p>
    <w:p>
      <w:pPr>
        <w:numPr>
          <w:ilvl w:val="0"/>
          <w:numId w:val="1001"/>
        </w:numPr>
        <w:pStyle w:val="Compact"/>
      </w:pPr>
      <w:r>
        <w:t xml:space="preserve">Ensure all financial records are maintained in both Uzbek and English to satisfy local regulatory requirements and international stakeholder reporting needs.</w:t>
      </w:r>
    </w:p>
    <w:p>
      <w:pPr>
        <w:numPr>
          <w:ilvl w:val="0"/>
          <w:numId w:val="1001"/>
        </w:numPr>
        <w:pStyle w:val="Compact"/>
      </w:pPr>
      <w:r>
        <w:t xml:space="preserve">Manage the fixed asset register, depreciation schedules, and capital expenditure tracking for all assets located in Uzbekistan Tashkent.</w:t>
      </w:r>
    </w:p>
    <w:bookmarkEnd w:id="24"/>
    <w:bookmarkStart w:id="25" w:name="terms-and-conditions"/>
    <w:p>
      <w:pPr>
        <w:pStyle w:val="Heading2"/>
      </w:pPr>
      <w:r>
        <w:t xml:space="preserve">3. 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Civil Code of the Republic of Uzbekistan and the Commercial Code of Uzbekistan. Any disputes arising from this Purchase Order related to the Accountant services in Uzbekistan Tashkent shall be resolved through the Tashkent City Arbitration Court.</w:t>
      </w:r>
    </w:p>
    <w:p>
      <w:pPr>
        <w:numPr>
          <w:ilvl w:val="0"/>
          <w:numId w:val="1002"/>
        </w:numPr>
        <w:pStyle w:val="Compact"/>
      </w:pPr>
      <w:r>
        <w:rPr>
          <w:bCs/>
          <w:b/>
        </w:rPr>
        <w:t xml:space="preserve">Payment Schedule:</w:t>
      </w:r>
      <w:r>
        <w:t xml:space="preserve"> </w:t>
      </w:r>
      <w:r>
        <w:t xml:space="preserve">Invoices shall be submitted on the last business day of each calendar month. Payment shall be made within thirty (30) calendar days of the invoice date via bank transfer to the account designated by the Service Provider. All payments shall be denominated in Uzbek Som (UZS) at the National Bank of Uzbekistan's official exchange rate on the date of payment.</w:t>
      </w:r>
    </w:p>
    <w:p>
      <w:pPr>
        <w:numPr>
          <w:ilvl w:val="0"/>
          <w:numId w:val="1002"/>
        </w:numPr>
        <w:pStyle w:val="Compact"/>
      </w:pPr>
      <w:r>
        <w:rPr>
          <w:bCs/>
          <w:b/>
        </w:rPr>
        <w:t xml:space="preserve">Performance Standards:</w:t>
      </w:r>
      <w:r>
        <w:t xml:space="preserve"> </w:t>
      </w:r>
      <w:r>
        <w:t xml:space="preserve">The Accountant shall deliver all financial reports, tax filings, and reconciliations within the statutory deadlines prescribed by the State Tax Committee of Uzbekistan. Failure to meet these deadlines shall constitute a material breach of this Purchase Order.</w:t>
      </w:r>
    </w:p>
    <w:p>
      <w:pPr>
        <w:numPr>
          <w:ilvl w:val="0"/>
          <w:numId w:val="1002"/>
        </w:numPr>
        <w:pStyle w:val="Compact"/>
      </w:pPr>
      <w:r>
        <w:rPr>
          <w:bCs/>
          <w:b/>
        </w:rPr>
        <w:t xml:space="preserve">Confidentiality:</w:t>
      </w:r>
      <w:r>
        <w:t xml:space="preserve"> </w:t>
      </w:r>
      <w:r>
        <w:t xml:space="preserve">The Accountant and the Service Provider shall maintain strict confidentiality of all financial data, trade secrets, and proprietary information of Tashkent Central Business Group LLC. This obligation shall survive the termination of this Purchase Order for a period of five (5) years.</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material breach, the non-breaching party may terminate immediately upon written notice. Upon termination, the Service Provider shall deliver all completed work and financial records to the Buyer within Uzbekistan Tashkent.</w:t>
      </w:r>
    </w:p>
    <w:p>
      <w:pPr>
        <w:numPr>
          <w:ilvl w:val="0"/>
          <w:numId w:val="1002"/>
        </w:numPr>
        <w:pStyle w:val="Compact"/>
      </w:pPr>
      <w:r>
        <w:rPr>
          <w:bCs/>
          <w:b/>
        </w:rPr>
        <w:t xml:space="preserve">Insurance and Liability:</w:t>
      </w:r>
      <w:r>
        <w:t xml:space="preserve"> </w:t>
      </w:r>
      <w:r>
        <w:t xml:space="preserve">The Service Provider shall maintain professional indemnity insurance with a minimum coverage of 500,000,000 UZS for the duration of this Purchase Order, covering any errors or omissions in the Accountant's work performed in Uzbekistan Tashkent.</w:t>
      </w:r>
    </w:p>
    <w:p>
      <w:pPr>
        <w:numPr>
          <w:ilvl w:val="0"/>
          <w:numId w:val="1002"/>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sanctions, or changes in Uzbek tax legislation affecting operations in Uzbekistan Tashkent.</w:t>
      </w:r>
    </w:p>
    <w:p>
      <w:pPr>
        <w:numPr>
          <w:ilvl w:val="0"/>
          <w:numId w:val="1002"/>
        </w:numPr>
        <w:pStyle w:val="Compact"/>
      </w:pPr>
      <w:r>
        <w:rPr>
          <w:bCs/>
          <w:b/>
        </w:rPr>
        <w:t xml:space="preserve">Amendments:</w:t>
      </w:r>
      <w:r>
        <w:t xml:space="preserve"> </w:t>
      </w:r>
      <w:r>
        <w:t xml:space="preserve">Any modification to this Purchase Order must be made in writing and signed by authorized representatives of both parties. Verbal agreements regarding the scope of the Accountant's duties in Uzbekistan Tashkent shall not be binding.</w:t>
      </w:r>
    </w:p>
    <w:bookmarkEnd w:id="25"/>
    <w:bookmarkStart w:id="26" w:name="acceptance-and-authorization"/>
    <w:p>
      <w:pPr>
        <w:pStyle w:val="Heading2"/>
      </w:pPr>
      <w:r>
        <w:t xml:space="preserve">4. Acceptance and Authorization</w:t>
      </w:r>
    </w:p>
    <w:p>
      <w:pPr>
        <w:pStyle w:val="FirstParagraph"/>
      </w:pPr>
      <w:r>
        <w:t xml:space="preserve">By signing below, both parties acknowledge and agree to all terms, conditions, and service specifications outlined in this Purchase Order for the procurement of Accountant services at the Uzbekistan Tashkent office. This document constitutes a binding commercial agreement effective from the date of the last signature.</w:t>
      </w:r>
    </w:p>
    <w:p>
      <w:pPr>
        <w:pStyle w:val="BodyText"/>
      </w:pPr>
      <w:r>
        <w:rPr>
          <w:bCs/>
          <w:b/>
        </w:rPr>
        <w:t xml:space="preserve">For and on behalf of the Buyer:</w:t>
      </w:r>
      <w:r>
        <w:br/>
      </w:r>
      <w:r>
        <w:t xml:space="preserve">Tashkent Central Business Group LLC</w:t>
      </w:r>
    </w:p>
    <w:p>
      <w:pPr>
        <w:pStyle w:val="BodyText"/>
      </w:pPr>
      <w:r>
        <w:rPr>
          <w:bCs/>
          <w:b/>
        </w:rPr>
        <w:t xml:space="preserve">Name:</w:t>
      </w:r>
      <w:r>
        <w:t xml:space="preserve"> </w:t>
      </w:r>
      <w:r>
        <w:t xml:space="preserve">_________________________</w:t>
      </w:r>
      <w:r>
        <w:br/>
      </w:r>
      <w:r>
        <w:rPr>
          <w:bCs/>
          <w:b/>
        </w:rPr>
        <w:t xml:space="preserve">Title:</w:t>
      </w:r>
      <w:r>
        <w:t xml:space="preserve"> </w:t>
      </w:r>
      <w:r>
        <w:t xml:space="preserve">Director of Finance</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Vendor:</w:t>
      </w:r>
      <w:r>
        <w:br/>
      </w:r>
      <w:r>
        <w:t xml:space="preserve">Professional Accounting &amp; Financial Services Co.</w:t>
      </w:r>
    </w:p>
    <w:p>
      <w:pPr>
        <w:pStyle w:val="BodyText"/>
      </w:pPr>
      <w:r>
        <w:rPr>
          <w:bCs/>
          <w:b/>
        </w:rPr>
        <w:t xml:space="preserve">Name:</w:t>
      </w:r>
      <w:r>
        <w:t xml:space="preserve"> </w:t>
      </w:r>
      <w:r>
        <w:t xml:space="preserve">_________________________</w:t>
      </w:r>
      <w:r>
        <w:br/>
      </w:r>
      <w:r>
        <w:rPr>
          <w:bCs/>
          <w:b/>
        </w:rPr>
        <w:t xml:space="preserve">Title:</w:t>
      </w:r>
      <w:r>
        <w:t xml:space="preserve"> </w:t>
      </w:r>
      <w:r>
        <w:t xml:space="preserve">Managing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(PO-2025-TSK-0472) is a controlled document issued by Tashkent Central Business Group LLC for the procurement of Accountant services in Uzbekistan Tashkent. Unauthorized reproduction or distribution is prohibited. Document Reference: TCBG/PROC/2025/0472.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Accountant Services - Uzbekistan Tashkent</dc:title>
  <dc:creator/>
  <dc:language>en</dc:language>
  <cp:keywords/>
  <dcterms:created xsi:type="dcterms:W3CDTF">2026-10-10T10:21:28Z</dcterms:created>
  <dcterms:modified xsi:type="dcterms:W3CDTF">2026-10-10T10:21:28Z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