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PO No.: VZL-CCS-2025-04872</w:t>
      </w:r>
    </w:p>
    <w:p>
      <w:pPr>
        <w:pStyle w:val="BodyText"/>
      </w:pPr>
      <w:r>
        <w:t xml:space="preserve">Date of Issue: June 15, 2025  |  Valid Until: July 15, 2025</w:t>
      </w:r>
    </w:p>
    <w:p>
      <w:pPr>
        <w:pStyle w:val="BodyText"/>
      </w:pPr>
      <w:r>
        <w:t xml:space="preserve">Place of Execution:</w:t>
      </w:r>
      <w:r>
        <w:t xml:space="preserve"> </w:t>
      </w:r>
      <w:r>
        <w:t xml:space="preserve">Venezuela Caracas</w:t>
      </w:r>
      <w:r>
        <w:t xml:space="preserve">, Distrito Capital, República Bolivariana de Venezuela</w:t>
      </w:r>
    </w:p>
    <w:bookmarkEnd w:id="20"/>
    <w:bookmarkStart w:id="23" w:name="parties-to-this-purchase-order"/>
    <w:p>
      <w:pPr>
        <w:pStyle w:val="Heading2"/>
      </w:pPr>
      <w:r>
        <w:t xml:space="preserve">1. Parties to This Purchase Order</w:t>
      </w:r>
    </w:p>
    <w:bookmarkStart w:id="21" w:name="buyer-procuring-entity"/>
    <w:p>
      <w:pPr>
        <w:pStyle w:val="Heading3"/>
      </w:pPr>
      <w:r>
        <w:t xml:space="preserve">BUYER (Procuring Entity)</w:t>
      </w:r>
    </w:p>
    <w:p>
      <w:pPr>
        <w:pStyle w:val="FirstParagraph"/>
      </w:pPr>
      <w:r>
        <w:rPr>
          <w:bCs/>
          <w:b/>
        </w:rPr>
        <w:t xml:space="preserve">Company:</w:t>
      </w:r>
      <w:r>
        <w:t xml:space="preserve"> </w:t>
      </w:r>
      <w:r>
        <w:t xml:space="preserve">Grupo Empresarial Andino C.A.</w:t>
      </w:r>
    </w:p>
    <w:p>
      <w:pPr>
        <w:pStyle w:val="BodyText"/>
      </w:pPr>
      <w:r>
        <w:rPr>
          <w:bCs/>
          <w:b/>
        </w:rPr>
        <w:t xml:space="preserve">RIF:</w:t>
      </w:r>
      <w:r>
        <w:t xml:space="preserve"> </w:t>
      </w:r>
      <w:r>
        <w:t xml:space="preserve">J-40125873-9</w:t>
      </w:r>
    </w:p>
    <w:p>
      <w:pPr>
        <w:pStyle w:val="BodyText"/>
      </w:pPr>
      <w:r>
        <w:rPr>
          <w:bCs/>
          <w:b/>
        </w:rPr>
        <w:t xml:space="preserve">Address:</w:t>
      </w:r>
      <w:r>
        <w:t xml:space="preserve"> </w:t>
      </w:r>
      <w:r>
        <w:t xml:space="preserve">Torre Empresarial, Piso 14, Av. Francisco de Miranda, Chacao,</w:t>
      </w:r>
      <w:r>
        <w:t xml:space="preserve"> </w:t>
      </w:r>
      <w:r>
        <w:rPr>
          <w:bCs/>
          <w:b/>
        </w:rPr>
        <w:t xml:space="preserve">Venezuela Caracas</w:t>
      </w:r>
      <w:r>
        <w:t xml:space="preserve">, 1060</w:t>
      </w:r>
    </w:p>
    <w:p>
      <w:pPr>
        <w:pStyle w:val="BodyText"/>
      </w:pPr>
      <w:r>
        <w:rPr>
          <w:bCs/>
          <w:b/>
        </w:rPr>
        <w:t xml:space="preserve">Contact:</w:t>
      </w:r>
      <w:r>
        <w:t xml:space="preserve"> </w:t>
      </w:r>
      <w:r>
        <w:t xml:space="preserve">Ing. María Fernanda Rodríguez</w:t>
      </w:r>
    </w:p>
    <w:p>
      <w:pPr>
        <w:pStyle w:val="BodyText"/>
      </w:pPr>
      <w:r>
        <w:rPr>
          <w:bCs/>
          <w:b/>
        </w:rPr>
        <w:t xml:space="preserve">Phone:</w:t>
      </w:r>
      <w:r>
        <w:t xml:space="preserve"> </w:t>
      </w:r>
      <w:r>
        <w:t xml:space="preserve">+58 (212) 555-4821</w:t>
      </w:r>
    </w:p>
    <w:p>
      <w:pPr>
        <w:pStyle w:val="BodyText"/>
      </w:pPr>
      <w:r>
        <w:rPr>
          <w:bCs/>
          <w:b/>
        </w:rPr>
        <w:t xml:space="preserve">Email:</w:t>
      </w:r>
      <w:r>
        <w:t xml:space="preserve"> </w:t>
      </w:r>
      <w:r>
        <w:t xml:space="preserve">compras@grupoandino.com.ve</w:t>
      </w:r>
    </w:p>
    <w:bookmarkEnd w:id="21"/>
    <w:bookmarkStart w:id="22" w:name="seller-service-provider"/>
    <w:p>
      <w:pPr>
        <w:pStyle w:val="Heading3"/>
      </w:pPr>
      <w:r>
        <w:t xml:space="preserve">SELLER / SERVICE PROVIDER</w:t>
      </w:r>
    </w:p>
    <w:p>
      <w:pPr>
        <w:pStyle w:val="FirstParagraph"/>
      </w:pPr>
      <w:r>
        <w:rPr>
          <w:bCs/>
          <w:b/>
        </w:rPr>
        <w:t xml:space="preserve">Professional:</w:t>
      </w:r>
      <w:r>
        <w:t xml:space="preserve"> </w:t>
      </w:r>
      <w:r>
        <w:t xml:space="preserve">CPÁ. Jorge Luis Hernández Márquez</w:t>
      </w:r>
    </w:p>
    <w:p>
      <w:pPr>
        <w:pStyle w:val="BodyText"/>
      </w:pPr>
      <w:r>
        <w:rPr>
          <w:bCs/>
          <w:b/>
        </w:rPr>
        <w:t xml:space="preserve">Professional License:</w:t>
      </w:r>
      <w:r>
        <w:t xml:space="preserve"> </w:t>
      </w:r>
      <w:r>
        <w:t xml:space="preserve">CP-12847 (Colegio de Contadores Públicos de Venezuela)</w:t>
      </w:r>
    </w:p>
    <w:p>
      <w:pPr>
        <w:pStyle w:val="BodyText"/>
      </w:pPr>
      <w:r>
        <w:rPr>
          <w:bCs/>
          <w:b/>
        </w:rPr>
        <w:t xml:space="preserve">Address:</w:t>
      </w:r>
      <w:r>
        <w:t xml:space="preserve"> </w:t>
      </w:r>
      <w:r>
        <w:t xml:space="preserve">Consultorio Contable, Edif. La Cumbre, Piso 7, Av. Páez, El Rosal,</w:t>
      </w:r>
      <w:r>
        <w:t xml:space="preserve"> </w:t>
      </w:r>
      <w:r>
        <w:rPr>
          <w:bCs/>
          <w:b/>
        </w:rPr>
        <w:t xml:space="preserve">Venezuela Caracas</w:t>
      </w:r>
      <w:r>
        <w:t xml:space="preserve">, 1080</w:t>
      </w:r>
    </w:p>
    <w:p>
      <w:pPr>
        <w:pStyle w:val="BodyText"/>
      </w:pPr>
      <w:r>
        <w:rPr>
          <w:bCs/>
          <w:b/>
        </w:rPr>
        <w:t xml:space="preserve">Contact:</w:t>
      </w:r>
      <w:r>
        <w:t xml:space="preserve"> </w:t>
      </w:r>
      <w:r>
        <w:t xml:space="preserve">CPÁ. Jorge Luis Hernández</w:t>
      </w:r>
    </w:p>
    <w:p>
      <w:pPr>
        <w:pStyle w:val="BodyText"/>
      </w:pPr>
      <w:r>
        <w:rPr>
          <w:bCs/>
          <w:b/>
        </w:rPr>
        <w:t xml:space="preserve">Phone:</w:t>
      </w:r>
      <w:r>
        <w:t xml:space="preserve"> </w:t>
      </w:r>
      <w:r>
        <w:t xml:space="preserve">+58 (212) 555-7394</w:t>
      </w:r>
    </w:p>
    <w:p>
      <w:pPr>
        <w:pStyle w:val="BodyText"/>
      </w:pPr>
      <w:r>
        <w:rPr>
          <w:bCs/>
          <w:b/>
        </w:rPr>
        <w:t xml:space="preserve">Email:</w:t>
      </w:r>
      <w:r>
        <w:t xml:space="preserve"> </w:t>
      </w:r>
      <w:r>
        <w:t xml:space="preserve">jlhernandez@contabilidadccs.com</w:t>
      </w:r>
    </w:p>
    <w:bookmarkEnd w:id="22"/>
    <w:bookmarkEnd w:id="23"/>
    <w:bookmarkStart w:id="24" w:name="description-of-procured-services"/>
    <w:p>
      <w:pPr>
        <w:pStyle w:val="Heading2"/>
      </w:pPr>
      <w:r>
        <w:t xml:space="preserve">2. Description of Procured Services</w:t>
      </w:r>
    </w:p>
    <w:p>
      <w:pPr>
        <w:pStyle w:val="FirstParagraph"/>
      </w:pPr>
      <w:r>
        <w:t xml:space="preserve">This</w:t>
      </w:r>
      <w:r>
        <w:t xml:space="preserve"> </w:t>
      </w:r>
      <w:r>
        <w:t xml:space="preserve">Purchase Order</w:t>
      </w:r>
      <w:r>
        <w:t xml:space="preserve"> </w:t>
      </w:r>
      <w:r>
        <w:t xml:space="preserve">is issued by Grupo Empresarial Andino C.A. to formally engage the services of a certified</w:t>
      </w:r>
      <w:r>
        <w:t xml:space="preserve"> </w:t>
      </w:r>
      <w:r>
        <w:t xml:space="preserve">Accountant</w:t>
      </w:r>
      <w:r>
        <w:t xml:space="preserve"> </w:t>
      </w:r>
      <w:r>
        <w:t xml:space="preserve">(Contador Público Autorizado) for the provision of comprehensive financial, tax, and regulatory accounting services. The engagement is to be performed in the city of</w:t>
      </w:r>
      <w:r>
        <w:t xml:space="preserve"> </w:t>
      </w:r>
      <w:r>
        <w:t xml:space="preserve">Venezuela Caracas</w:t>
      </w:r>
      <w:r>
        <w:t xml:space="preserve">, in strict compliance with the Venezuelan tax code (Código Orgánico Tributario), the regulations of the Servicio Nacional Integrado de Administración Aduanera y Tributaria (SENIAT), and the standards established by the Colegio de Contadores Públicos de Venezuela.</w:t>
      </w:r>
    </w:p>
    <w:p>
      <w:pPr>
        <w:pStyle w:val="BodyText"/>
      </w:pPr>
      <w:r>
        <w:t xml:space="preserve">The</w:t>
      </w:r>
      <w:r>
        <w:t xml:space="preserve"> </w:t>
      </w:r>
      <w:r>
        <w:t xml:space="preserve">Accountant</w:t>
      </w:r>
      <w:r>
        <w:t xml:space="preserve"> </w:t>
      </w:r>
      <w:r>
        <w:t xml:space="preserve">shall provide ongoing monthly support to the Buyer's operations located in</w:t>
      </w:r>
      <w:r>
        <w:t xml:space="preserve"> </w:t>
      </w:r>
      <w:r>
        <w:t xml:space="preserve">Venezuela Caracas</w:t>
      </w:r>
      <w:r>
        <w:t xml:space="preserve">, ensuring full compliance with all fiscal obligations, including but not limited to the preparation and filing of monthly IVA (Impuesto al Valor Agregado) declarations, ISLR (Impuesto Sobre la Renta) provisional calculations, and the annual financial statements required by Venezuelan commercial law.</w:t>
      </w:r>
    </w:p>
    <w:bookmarkEnd w:id="24"/>
    <w:bookmarkStart w:id="25"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Accountant Services</w:t>
            </w:r>
          </w:p>
        </w:tc>
        <w:tc>
          <w:tcPr/>
          <w:p>
            <w:pPr>
              <w:pStyle w:val="Compact"/>
              <w:jc w:val="left"/>
            </w:pPr>
            <w:r>
              <w:t xml:space="preserve">Frequency</w:t>
            </w:r>
          </w:p>
        </w:tc>
        <w:tc>
          <w:tcPr/>
          <w:p>
            <w:pPr>
              <w:pStyle w:val="Compact"/>
              <w:jc w:val="left"/>
            </w:pPr>
            <w:r>
              <w:t xml:space="preserve">Unit Price (VES)</w:t>
            </w:r>
          </w:p>
        </w:tc>
        <w:tc>
          <w:tcPr/>
          <w:p>
            <w:pPr>
              <w:pStyle w:val="Compact"/>
              <w:jc w:val="left"/>
            </w:pPr>
            <w:r>
              <w:t xml:space="preserve">Quantity</w:t>
            </w:r>
          </w:p>
        </w:tc>
        <w:tc>
          <w:tcPr/>
          <w:p>
            <w:pPr>
              <w:pStyle w:val="Compact"/>
              <w:jc w:val="left"/>
            </w:pPr>
            <w:r>
              <w:t xml:space="preserve">Subtotal (VES)</w:t>
            </w:r>
          </w:p>
        </w:tc>
      </w:tr>
      <w:tr>
        <w:tc>
          <w:tcPr/>
          <w:p>
            <w:pPr>
              <w:pStyle w:val="Compact"/>
              <w:jc w:val="left"/>
            </w:pPr>
            <w:r>
              <w:t xml:space="preserve">01</w:t>
            </w:r>
          </w:p>
        </w:tc>
        <w:tc>
          <w:tcPr/>
          <w:p>
            <w:pPr>
              <w:pStyle w:val="Compact"/>
              <w:jc w:val="left"/>
            </w:pPr>
            <w:r>
              <w:t xml:space="preserve">Monthly preparation and filing of IVA tax declarations (Form 101) with SENIAT in Venezuela Caracas</w:t>
            </w:r>
          </w:p>
        </w:tc>
        <w:tc>
          <w:tcPr/>
          <w:p>
            <w:pPr>
              <w:pStyle w:val="Compact"/>
              <w:jc w:val="left"/>
            </w:pPr>
            <w:r>
              <w:t xml:space="preserve">Monthly</w:t>
            </w:r>
          </w:p>
        </w:tc>
        <w:tc>
          <w:tcPr/>
          <w:p>
            <w:pPr>
              <w:pStyle w:val="Compact"/>
              <w:jc w:val="left"/>
            </w:pPr>
            <w:r>
              <w:t xml:space="preserve">8,500.00</w:t>
            </w:r>
          </w:p>
        </w:tc>
        <w:tc>
          <w:tcPr/>
          <w:p>
            <w:pPr>
              <w:pStyle w:val="Compact"/>
              <w:jc w:val="left"/>
            </w:pPr>
            <w:r>
              <w:t xml:space="preserve">12</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Monthly payroll accounting, IVSS contributions, and INPREAB filings for 45 employees</w:t>
            </w:r>
          </w:p>
        </w:tc>
        <w:tc>
          <w:tcPr/>
          <w:p>
            <w:pPr>
              <w:pStyle w:val="Compact"/>
              <w:jc w:val="left"/>
            </w:pPr>
            <w:r>
              <w:t xml:space="preserve">Monthly</w:t>
            </w:r>
          </w:p>
        </w:tc>
        <w:tc>
          <w:tcPr/>
          <w:p>
            <w:pPr>
              <w:pStyle w:val="Compact"/>
              <w:jc w:val="left"/>
            </w:pPr>
            <w:r>
              <w:t xml:space="preserve">12,000.00</w:t>
            </w:r>
          </w:p>
        </w:tc>
        <w:tc>
          <w:tcPr/>
          <w:p>
            <w:pPr>
              <w:pStyle w:val="Compact"/>
              <w:jc w:val="left"/>
            </w:pPr>
            <w:r>
              <w:t xml:space="preserve">12</w:t>
            </w:r>
          </w:p>
        </w:tc>
        <w:tc>
          <w:tcPr/>
          <w:p>
            <w:pPr>
              <w:pStyle w:val="Compact"/>
              <w:jc w:val="left"/>
            </w:pPr>
            <w:r>
              <w:t xml:space="preserve">144,000.00</w:t>
            </w:r>
          </w:p>
        </w:tc>
      </w:tr>
      <w:tr>
        <w:tc>
          <w:tcPr/>
          <w:p>
            <w:pPr>
              <w:pStyle w:val="Compact"/>
              <w:jc w:val="left"/>
            </w:pPr>
            <w:r>
              <w:t xml:space="preserve">03</w:t>
            </w:r>
          </w:p>
        </w:tc>
        <w:tc>
          <w:tcPr/>
          <w:p>
            <w:pPr>
              <w:pStyle w:val="Compact"/>
              <w:jc w:val="left"/>
            </w:pPr>
            <w:r>
              <w:t xml:space="preserve">Quarterly ISLR provisional tax calculation and filing (Form 103)</w:t>
            </w:r>
          </w:p>
        </w:tc>
        <w:tc>
          <w:tcPr/>
          <w:p>
            <w:pPr>
              <w:pStyle w:val="Compact"/>
              <w:jc w:val="left"/>
            </w:pPr>
            <w:r>
              <w:t xml:space="preserve">Quarterly</w:t>
            </w:r>
          </w:p>
        </w:tc>
        <w:tc>
          <w:tcPr/>
          <w:p>
            <w:pPr>
              <w:pStyle w:val="Compact"/>
              <w:jc w:val="left"/>
            </w:pPr>
            <w:r>
              <w:t xml:space="preserve">15,000.00</w:t>
            </w:r>
          </w:p>
        </w:tc>
        <w:tc>
          <w:tcPr/>
          <w:p>
            <w:pPr>
              <w:pStyle w:val="Compact"/>
              <w:jc w:val="left"/>
            </w:pPr>
            <w:r>
              <w:t xml:space="preserve">4</w:t>
            </w:r>
          </w:p>
        </w:tc>
        <w:tc>
          <w:tcPr/>
          <w:p>
            <w:pPr>
              <w:pStyle w:val="Compact"/>
              <w:jc w:val="left"/>
            </w:pPr>
            <w:r>
              <w:t xml:space="preserve">60,000.00</w:t>
            </w:r>
          </w:p>
        </w:tc>
      </w:tr>
      <w:tr>
        <w:tc>
          <w:tcPr/>
          <w:p>
            <w:pPr>
              <w:pStyle w:val="Compact"/>
              <w:jc w:val="left"/>
            </w:pPr>
            <w:r>
              <w:t xml:space="preserve">04</w:t>
            </w:r>
          </w:p>
        </w:tc>
        <w:tc>
          <w:tcPr/>
          <w:p>
            <w:pPr>
              <w:pStyle w:val="Compact"/>
              <w:jc w:val="left"/>
            </w:pPr>
            <w:r>
              <w:t xml:space="preserve">Annual financial statement preparation (Balance Sheet, Income Statement, Cash Flow) per Venezuelan GAAP (NIIF)</w:t>
            </w:r>
          </w:p>
        </w:tc>
        <w:tc>
          <w:tcPr/>
          <w:p>
            <w:pPr>
              <w:pStyle w:val="Compact"/>
              <w:jc w:val="left"/>
            </w:pPr>
            <w:r>
              <w:t xml:space="preserve">Annual</w:t>
            </w:r>
          </w:p>
        </w:tc>
        <w:tc>
          <w:tcPr/>
          <w:p>
            <w:pPr>
              <w:pStyle w:val="Compact"/>
              <w:jc w:val="left"/>
            </w:pPr>
            <w:r>
              <w:t xml:space="preserve">45,000.00</w:t>
            </w:r>
          </w:p>
        </w:tc>
        <w:tc>
          <w:tcPr/>
          <w:p>
            <w:pPr>
              <w:pStyle w:val="Compact"/>
              <w:jc w:val="left"/>
            </w:pPr>
            <w:r>
              <w:t xml:space="preserve">1</w:t>
            </w:r>
          </w:p>
        </w:tc>
        <w:tc>
          <w:tcPr/>
          <w:p>
            <w:pPr>
              <w:pStyle w:val="Compact"/>
              <w:jc w:val="left"/>
            </w:pPr>
            <w:r>
              <w:t xml:space="preserve">45,000.00</w:t>
            </w:r>
          </w:p>
        </w:tc>
      </w:tr>
      <w:tr>
        <w:tc>
          <w:tcPr/>
          <w:p>
            <w:pPr>
              <w:pStyle w:val="Compact"/>
              <w:jc w:val="left"/>
            </w:pPr>
            <w:r>
              <w:t xml:space="preserve">05</w:t>
            </w:r>
          </w:p>
        </w:tc>
        <w:tc>
          <w:tcPr/>
          <w:p>
            <w:pPr>
              <w:pStyle w:val="Compact"/>
              <w:jc w:val="left"/>
            </w:pPr>
            <w:r>
              <w:t xml:space="preserve">Monthly general ledger maintenance, bank reconciliation, and accounts payable/receivable management</w:t>
            </w:r>
          </w:p>
        </w:tc>
        <w:tc>
          <w:tcPr/>
          <w:p>
            <w:pPr>
              <w:pStyle w:val="Compact"/>
              <w:jc w:val="left"/>
            </w:pPr>
            <w:r>
              <w:t xml:space="preserve">Monthly</w:t>
            </w:r>
          </w:p>
        </w:tc>
        <w:tc>
          <w:tcPr/>
          <w:p>
            <w:pPr>
              <w:pStyle w:val="Compact"/>
              <w:jc w:val="left"/>
            </w:pPr>
            <w:r>
              <w:t xml:space="preserve">10,000.00</w:t>
            </w:r>
          </w:p>
        </w:tc>
        <w:tc>
          <w:tcPr/>
          <w:p>
            <w:pPr>
              <w:pStyle w:val="Compact"/>
              <w:jc w:val="left"/>
            </w:pPr>
            <w:r>
              <w:t xml:space="preserve">12</w:t>
            </w:r>
          </w:p>
        </w:tc>
        <w:tc>
          <w:tcPr/>
          <w:p>
            <w:pPr>
              <w:pStyle w:val="Compact"/>
              <w:jc w:val="left"/>
            </w:pPr>
            <w:r>
              <w:t xml:space="preserve">120,000.00</w:t>
            </w:r>
          </w:p>
        </w:tc>
      </w:tr>
      <w:tr>
        <w:tc>
          <w:tcPr/>
          <w:p>
            <w:pPr>
              <w:pStyle w:val="Compact"/>
              <w:jc w:val="left"/>
            </w:pPr>
            <w:r>
              <w:t xml:space="preserve">06</w:t>
            </w:r>
          </w:p>
        </w:tc>
        <w:tc>
          <w:tcPr/>
          <w:p>
            <w:pPr>
              <w:pStyle w:val="Compact"/>
              <w:jc w:val="left"/>
            </w:pPr>
            <w:r>
              <w:t xml:space="preserve">Ad-hoc tax advisory, representation before SENIAT, and regulatory compliance audits in Venezuela Caracas</w:t>
            </w:r>
          </w:p>
        </w:tc>
        <w:tc>
          <w:tcPr/>
          <w:p>
            <w:pPr>
              <w:pStyle w:val="Compact"/>
              <w:jc w:val="left"/>
            </w:pPr>
            <w:r>
              <w:t xml:space="preserve">As needed</w:t>
            </w:r>
          </w:p>
        </w:tc>
        <w:tc>
          <w:tcPr/>
          <w:p>
            <w:pPr>
              <w:pStyle w:val="Compact"/>
              <w:jc w:val="left"/>
            </w:pPr>
            <w:r>
              <w:t xml:space="preserve">5,000.00</w:t>
            </w:r>
          </w:p>
        </w:tc>
        <w:tc>
          <w:tcPr/>
          <w:p>
            <w:pPr>
              <w:pStyle w:val="Compact"/>
              <w:jc w:val="left"/>
            </w:pPr>
            <w:r>
              <w:t xml:space="preserve">6</w:t>
            </w:r>
          </w:p>
        </w:tc>
        <w:tc>
          <w:tcPr/>
          <w:p>
            <w:pPr>
              <w:pStyle w:val="Compact"/>
              <w:jc w:val="left"/>
            </w:pPr>
            <w:r>
              <w:t xml:space="preserve">30,000.00</w:t>
            </w:r>
          </w:p>
        </w:tc>
      </w:tr>
      <w:tr>
        <w:tc>
          <w:tcPr>
            <w:gridSpan w:val="5"/>
          </w:tcPr>
          <w:p>
            <w:pPr>
              <w:pStyle w:val="Compact"/>
              <w:jc w:val="left"/>
            </w:pPr>
            <w:r>
              <w:t xml:space="preserve">TOTAL ANNUAL CONTRACT VALUE (VES)</w:t>
            </w:r>
          </w:p>
        </w:tc>
        <w:tc>
          <w:tcPr/>
          <w:p>
            <w:pPr>
              <w:pStyle w:val="Compact"/>
              <w:jc w:val="left"/>
            </w:pPr>
            <w:r>
              <w:t xml:space="preserve">501,000.00</w:t>
            </w:r>
          </w:p>
        </w:tc>
      </w:tr>
      <w:tr>
        <w:tc>
          <w:tcPr>
            <w:gridSpan w:val="5"/>
          </w:tcPr>
          <w:p>
            <w:pPr>
              <w:pStyle w:val="Compact"/>
              <w:jc w:val="left"/>
            </w:pPr>
            <w:r>
              <w:t xml:space="preserve">TOTAL ANNUAL CONTRACT VALUE (USD, reference at BCV rate)</w:t>
            </w:r>
          </w:p>
        </w:tc>
        <w:tc>
          <w:tcPr/>
          <w:p>
            <w:pPr>
              <w:pStyle w:val="Compact"/>
              <w:jc w:val="left"/>
            </w:pPr>
            <w:r>
              <w:t xml:space="preserve">≈ 12,525.00</w:t>
            </w:r>
          </w:p>
        </w:tc>
      </w:tr>
    </w:tbl>
    <w:p>
      <w:pPr>
        <w:pStyle w:val="BodyText"/>
      </w:pPr>
      <w:r>
        <w:t xml:space="preserve">* All prices are expressed in Bolívares (VES) and are subject to the official exchange rate published by the Banco Central de Venezuela (BCV) on the date of each invoice. The USD equivalent is provided for reference only.</w:t>
      </w:r>
    </w:p>
    <w:bookmarkEnd w:id="25"/>
    <w:bookmarkStart w:id="26"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República Bolivariana de Venezuela, specifically the Código de Comercio and the Código Orgánico Tributario. Any disputes arising from this Purchase Order shall be resolved in the competent courts of Venezuela Caracas, Distrito Capital.</w:t>
      </w:r>
    </w:p>
    <w:p>
      <w:pPr>
        <w:numPr>
          <w:ilvl w:val="0"/>
          <w:numId w:val="1001"/>
        </w:numPr>
        <w:pStyle w:val="Compact"/>
      </w:pPr>
      <w:r>
        <w:rPr>
          <w:bCs/>
          <w:b/>
        </w:rPr>
        <w:t xml:space="preserve">Payment Terms:</w:t>
      </w:r>
      <w:r>
        <w:t xml:space="preserve"> </w:t>
      </w:r>
      <w:r>
        <w:t xml:space="preserve">The Buyer shall remit payment within fifteen (15) calendar days from the date of receipt of each monthly invoice issued by the Accountant. Payments shall be made via bank transfer to the account designated by the Accountant at Banco Mercantil, Sucursal Chacao, Venezuela Caracas. Late payments shall accrue interest at the rate established by the Banco Central de Venezuela.</w:t>
      </w:r>
    </w:p>
    <w:p>
      <w:pPr>
        <w:numPr>
          <w:ilvl w:val="0"/>
          <w:numId w:val="1001"/>
        </w:numPr>
        <w:pStyle w:val="Compact"/>
      </w:pPr>
      <w:r>
        <w:rPr>
          <w:bCs/>
          <w:b/>
        </w:rPr>
        <w:t xml:space="preserve">Scope of Engagement:</w:t>
      </w:r>
      <w:r>
        <w:t xml:space="preserve"> </w:t>
      </w:r>
      <w:r>
        <w:t xml:space="preserve">The Accountant shall perform all services from the professional office located in Venezuela Caracas or, as mutually agreed, at the Buyer's premises in Chacao. The Accountant warrants that all work shall comply with the professional standards of the Colegio de Contadores Públicos de Venezuela and applicable Venezuelan tax regulations.</w:t>
      </w:r>
    </w:p>
    <w:p>
      <w:pPr>
        <w:numPr>
          <w:ilvl w:val="0"/>
          <w:numId w:val="1001"/>
        </w:numPr>
        <w:pStyle w:val="Compact"/>
      </w:pPr>
      <w:r>
        <w:rPr>
          <w:bCs/>
          <w:b/>
        </w:rPr>
        <w:t xml:space="preserve">Confidentiality:</w:t>
      </w:r>
      <w:r>
        <w:t xml:space="preserve"> </w:t>
      </w:r>
      <w:r>
        <w:t xml:space="preserve">The Accountant shall maintain strict confidentiality over all financial records, tax filings, and proprietary business information of the Buyer. This obligation shall survive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up to the effective date of termination. The Accountant shall deliver all books, records, and pending filings to the Buyer within fifteen (15) days of termination.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decrees, or economic emergencies declared in Venezuela.</w:t>
      </w:r>
    </w:p>
    <w:p>
      <w:pPr>
        <w:numPr>
          <w:ilvl w:val="0"/>
          <w:numId w:val="1001"/>
        </w:numPr>
        <w:pStyle w:val="Compact"/>
      </w:pPr>
      <w:r>
        <w:rPr>
          <w:bCs/>
          <w:b/>
        </w:rPr>
        <w:t xml:space="preserve">Professional Liability:</w:t>
      </w:r>
      <w:r>
        <w:t xml:space="preserve"> </w:t>
      </w:r>
      <w:r>
        <w:t xml:space="preserve">The Accountant shall maintain professional liability insurance (seguro de responsabilidad civil profesional) with a minimum coverage of VES 2,000,000.00 for the duration of this Purchase Order.</w:t>
      </w:r>
    </w:p>
    <w:p>
      <w:pPr>
        <w:numPr>
          <w:ilvl w:val="0"/>
          <w:numId w:val="1001"/>
        </w:numPr>
        <w:pStyle w:val="Compact"/>
      </w:pPr>
      <w:r>
        <w:rPr>
          <w:bCs/>
          <w:b/>
        </w:rPr>
        <w:t xml:space="preserve">Compliance:</w:t>
      </w:r>
      <w:r>
        <w:t xml:space="preserve"> </w:t>
      </w:r>
      <w:r>
        <w:t xml:space="preserve">The Accountant represents and warrants that he is in good standing with the Colegio de Contadores Públicos de Venezuela, holds a valid RIF, and is not subject to any sanctions or restrictions imposed by Venezuelan regulatory authorities.</w:t>
      </w:r>
    </w:p>
    <w:bookmarkEnd w:id="26"/>
    <w:p>
      <w:pPr>
        <w:pStyle w:val="FirstParagraph"/>
      </w:pPr>
      <w:r>
        <w:rPr>
          <w:bCs/>
          <w:b/>
        </w:rPr>
        <w:t xml:space="preserve">NOTE:</w:t>
      </w:r>
      <w:r>
        <w:t xml:space="preserve"> </w:t>
      </w:r>
      <w:r>
        <w:t xml:space="preserve">This Purchase Order is issued in the city of Venezuela Caracas and constitutes a binding procurement document under Venezuelan commercial law. The engagement of the Accountant described herein is subject to the Buyer's internal procurement policies and the approval of the Board of Directors of Grupo Empresarial Andino C.A. All communications regarding this Purchase Order shall be directed to the addresses specified in Venezuela Caracas.</w:t>
      </w:r>
    </w:p>
    <w:bookmarkStart w:id="27" w:name="acceptance-and-signatures"/>
    <w:p>
      <w:pPr>
        <w:pStyle w:val="Heading2"/>
      </w:pPr>
      <w:r>
        <w:t xml:space="preserve">5. Acceptance and Signatures</w:t>
      </w:r>
    </w:p>
    <w:p>
      <w:pPr>
        <w:pStyle w:val="FirstParagraph"/>
      </w:pPr>
      <w:r>
        <w:t xml:space="preserve">By signing below, both parties acknowledge and agree to all terms, conditions, and service descriptions set forth in this Purchase Order for the engagement of the Accountant in Venezuela Caracas.</w:t>
      </w:r>
    </w:p>
    <w:p>
      <w:pPr>
        <w:pStyle w:val="BodyText"/>
      </w:pPr>
      <w:r>
        <w:rPr>
          <w:bCs/>
          <w:b/>
        </w:rPr>
        <w:t xml:space="preserve">FOR THE BUYER</w:t>
      </w:r>
      <w:r>
        <w:br/>
      </w:r>
      <w:r>
        <w:t xml:space="preserve">Grupo Empresarial Andino C.A.</w:t>
      </w:r>
      <w:r>
        <w:br/>
      </w:r>
      <w:r>
        <w:t xml:space="preserve">______________________________</w:t>
      </w:r>
      <w:r>
        <w:br/>
      </w:r>
      <w:r>
        <w:t xml:space="preserve">Ing. María Fernanda Rodríguez</w:t>
      </w:r>
      <w:r>
        <w:br/>
      </w:r>
      <w:r>
        <w:t xml:space="preserve">Gerente de Compras</w:t>
      </w:r>
      <w:r>
        <w:br/>
      </w:r>
      <w:r>
        <w:t xml:space="preserve">Date: _______________</w:t>
      </w:r>
    </w:p>
    <w:p>
      <w:pPr>
        <w:pStyle w:val="BodyText"/>
      </w:pPr>
      <w:r>
        <w:rPr>
          <w:bCs/>
          <w:b/>
        </w:rPr>
        <w:t xml:space="preserve">FOR THE SELLER / ACCOUNTANT</w:t>
      </w:r>
      <w:r>
        <w:br/>
      </w:r>
      <w:r>
        <w:t xml:space="preserve">CPÁ. Jorge Luis Hernández Márquez</w:t>
      </w:r>
      <w:r>
        <w:br/>
      </w:r>
      <w:r>
        <w:t xml:space="preserve">______________________________</w:t>
      </w:r>
      <w:r>
        <w:br/>
      </w:r>
      <w:r>
        <w:t xml:space="preserve">CP-12847</w:t>
      </w:r>
      <w:r>
        <w:br/>
      </w:r>
      <w:r>
        <w:t xml:space="preserve">Contador Público Autorizado</w:t>
      </w:r>
      <w:r>
        <w:br/>
      </w:r>
      <w:r>
        <w:t xml:space="preserve">Date: _______________</w:t>
      </w:r>
    </w:p>
    <w:bookmarkEnd w:id="27"/>
    <w:p>
      <w:pPr>
        <w:pStyle w:val="BodyText"/>
      </w:pPr>
      <w:r>
        <w:t xml:space="preserve">This Purchase Order (PO No. VZL-CCS-2025-04872) was prepared and executed in Venezuela Caracas, Distrito Capital, República Bolivariana de Venezuela. Document reference: Procurement Department, Grupo Empresarial Andino C.A. For inquiries regarding this Purchase Order or the Accountant engagement, contact the Procurement Office at +58 (212) 555-4821 or compras@grupoandino.com.ve. This document is valid only when signed by both parties and bears the official stamp of the Buyer's legal entity.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Accountant Services - Venezuela Caracas</dc:title>
  <dc:creator/>
  <dc:language>en</dc:language>
  <cp:keywords/>
  <dcterms:created xsi:type="dcterms:W3CDTF">2026-10-10T10:21:26Z</dcterms:created>
  <dcterms:modified xsi:type="dcterms:W3CDTF">2026-10-10T10:21:26Z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