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Brazil</w:t>
      </w:r>
      <w:r>
        <w:t xml:space="preserve"> </w:t>
      </w:r>
      <w:r>
        <w:t xml:space="preserve">Brasília</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PO-BR-2025-04872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Destination:</w:t>
      </w:r>
      <w:r>
        <w:t xml:space="preserve"> </w:t>
      </w:r>
      <w:r>
        <w:t xml:space="preserve">Brazil</w:t>
      </w:r>
    </w:p>
    <w:p>
      <w:pPr>
        <w:pStyle w:val="BodyText"/>
      </w:pPr>
      <w:r>
        <w:rPr>
          <w:bCs/>
          <w:b/>
        </w:rPr>
        <w:t xml:space="preserve">Classification:</w:t>
      </w:r>
      <w:r>
        <w:t xml:space="preserve"> </w:t>
      </w:r>
      <w:r>
        <w:t xml:space="preserve">Confidential</w:t>
      </w:r>
      <w:r>
        <w:br/>
      </w:r>
      <w:r>
        <w:rPr>
          <w:bCs/>
          <w:b/>
        </w:rPr>
        <w:t xml:space="preserve">Department:</w:t>
      </w:r>
      <w:r>
        <w:t xml:space="preserve"> </w:t>
      </w:r>
      <w:r>
        <w:t xml:space="preserve">Information Technology &amp; Digital Transformation</w:t>
      </w:r>
      <w:r>
        <w:br/>
      </w:r>
      <w:r>
        <w:rPr>
          <w:bCs/>
          <w:b/>
        </w:rPr>
        <w:t xml:space="preserve">Reference Code:</w:t>
      </w:r>
      <w:r>
        <w:t xml:space="preserve"> </w:t>
      </w:r>
      <w:r>
        <w:t xml:space="preserve">ACTOR-BSB-2025</w:t>
      </w:r>
    </w:p>
    <w:bookmarkStart w:id="20" w:name="parties-involved"/>
    <w:p>
      <w:pPr>
        <w:pStyle w:val="Heading2"/>
      </w:pPr>
      <w:r>
        <w:t xml:space="preserve">1. Parties Involved</w:t>
      </w:r>
    </w:p>
    <w:p>
      <w:pPr>
        <w:pStyle w:val="FirstParagraph"/>
      </w:pPr>
      <w:r>
        <w:rPr>
          <w:bCs/>
          <w:b/>
        </w:rPr>
        <w:t xml:space="preserve">Buyer (Purchasing Entity):</w:t>
      </w:r>
      <w:r>
        <w:br/>
      </w:r>
      <w:r>
        <w:t xml:space="preserve">Ministério da Gestão e da Inovação em Serviços Digitais</w:t>
      </w:r>
      <w:r>
        <w:br/>
      </w:r>
      <w:r>
        <w:t xml:space="preserve">Av. Paulista, 1578 – Bela Vista</w:t>
      </w:r>
      <w:r>
        <w:br/>
      </w:r>
      <w:r>
        <w:t xml:space="preserve">São Paulo, SP – 01310-300 – Brazil</w:t>
      </w:r>
      <w:r>
        <w:br/>
      </w:r>
      <w:r>
        <w:t xml:space="preserve">CNPJ: 00.394.469/0001-10</w:t>
      </w:r>
      <w:r>
        <w:br/>
      </w:r>
      <w:r>
        <w:t xml:space="preserve">Contact: Licitações e Contratos – Setor de Aquisições</w:t>
      </w:r>
      <w:r>
        <w:br/>
      </w:r>
      <w:r>
        <w:t xml:space="preserve">Email: compras@mgid.gov.br</w:t>
      </w:r>
    </w:p>
    <w:p>
      <w:pPr>
        <w:pStyle w:val="BodyText"/>
      </w:pPr>
      <w:r>
        <w:rPr>
          <w:bCs/>
          <w:b/>
        </w:rPr>
        <w:t xml:space="preserve">Supplier (Vendor):</w:t>
      </w:r>
      <w:r>
        <w:br/>
      </w:r>
      <w:r>
        <w:t xml:space="preserve">Actor Technologies International S.A.</w:t>
      </w:r>
      <w:r>
        <w:br/>
      </w:r>
      <w:r>
        <w:t xml:space="preserve">4200 Innovation Drive, Suite 700</w:t>
      </w:r>
      <w:r>
        <w:br/>
      </w:r>
      <w:r>
        <w:t xml:space="preserve">Austin, TX 78744 – United States of America</w:t>
      </w:r>
      <w:r>
        <w:br/>
      </w:r>
      <w:r>
        <w:t xml:space="preserve">Tax ID (EIN): 84-2917365</w:t>
      </w:r>
      <w:r>
        <w:br/>
      </w:r>
      <w:r>
        <w:t xml:space="preserve">Contact: International Sales Division – Latin America</w:t>
      </w:r>
      <w:r>
        <w:br/>
      </w:r>
      <w:r>
        <w:t xml:space="preserve">Email: sales.latinamerica@actor-tech.com</w:t>
      </w:r>
    </w:p>
    <w:bookmarkEnd w:id="20"/>
    <w:bookmarkStart w:id="21" w:name="purpose-and-scope-of-purchase"/>
    <w:p>
      <w:pPr>
        <w:pStyle w:val="Heading2"/>
      </w:pPr>
      <w:r>
        <w:t xml:space="preserve">2. Purpose and Scope of Purchase</w:t>
      </w:r>
    </w:p>
    <w:p>
      <w:pPr>
        <w:pStyle w:val="FirstParagraph"/>
      </w:pPr>
      <w:r>
        <w:t xml:space="preserve">This Purchase Order is issued by the Buyer to formally request the acquisition, licensing, deployment, and initial implementation of the</w:t>
      </w:r>
      <w:r>
        <w:t xml:space="preserve"> </w:t>
      </w:r>
      <w:r>
        <w:rPr>
          <w:bCs/>
          <w:b/>
        </w:rPr>
        <w:t xml:space="preserve">Actor</w:t>
      </w:r>
      <w:r>
        <w:t xml:space="preserve"> </w:t>
      </w:r>
      <w:r>
        <w:t xml:space="preserve">enterprise workflow and digital collaboration platform for use within the governmental offices located in</w:t>
      </w:r>
      <w:r>
        <w:t xml:space="preserve"> </w:t>
      </w:r>
      <w:r>
        <w:rPr>
          <w:bCs/>
          <w:b/>
        </w:rPr>
        <w:t xml:space="preserve">Brazil Brasília</w:t>
      </w:r>
      <w:r>
        <w:t xml:space="preserve">. The</w:t>
      </w:r>
      <w:r>
        <w:t xml:space="preserve"> </w:t>
      </w:r>
      <w:r>
        <w:rPr>
          <w:bCs/>
          <w:b/>
        </w:rPr>
        <w:t xml:space="preserve">Actor</w:t>
      </w:r>
      <w:r>
        <w:t xml:space="preserve"> </w:t>
      </w:r>
      <w:r>
        <w:t xml:space="preserve">platform shall serve as the centralised digital infrastructure for inter-ministerial process management, document routing, automated approval workflows, and real-time collaboration among federal public servants stationed in the Federal District of</w:t>
      </w:r>
      <w:r>
        <w:t xml:space="preserve"> </w:t>
      </w:r>
      <w:r>
        <w:rPr>
          <w:bCs/>
          <w:b/>
        </w:rPr>
        <w:t xml:space="preserve">Brazil Brasília</w:t>
      </w:r>
      <w:r>
        <w:t xml:space="preserve">.</w:t>
      </w:r>
    </w:p>
    <w:p>
      <w:pPr>
        <w:pStyle w:val="BodyText"/>
      </w:pPr>
      <w:r>
        <w:t xml:space="preserve">The deployment of</w:t>
      </w:r>
      <w:r>
        <w:t xml:space="preserve"> </w:t>
      </w:r>
      <w:r>
        <w:rPr>
          <w:bCs/>
          <w:b/>
        </w:rPr>
        <w:t xml:space="preserve">Actor</w:t>
      </w:r>
      <w:r>
        <w:t xml:space="preserve"> </w:t>
      </w:r>
      <w:r>
        <w:t xml:space="preserve">in</w:t>
      </w:r>
      <w:r>
        <w:t xml:space="preserve"> </w:t>
      </w:r>
      <w:r>
        <w:rPr>
          <w:bCs/>
          <w:b/>
        </w:rPr>
        <w:t xml:space="preserve">Brazil Brasília</w:t>
      </w:r>
      <w:r>
        <w:t xml:space="preserve"> </w:t>
      </w:r>
      <w:r>
        <w:t xml:space="preserve">is mandated under the National Digital Government Strategy (Estratégia Nacional de Governo Digital) and aligns with the objectives of the Federal Decree No. 10.502/2020 regarding the modernisation of public administration processes. All</w:t>
      </w:r>
      <w:r>
        <w:t xml:space="preserve"> </w:t>
      </w:r>
      <w:r>
        <w:rPr>
          <w:bCs/>
          <w:b/>
        </w:rPr>
        <w:t xml:space="preserve">Actor</w:t>
      </w:r>
      <w:r>
        <w:t xml:space="preserve"> </w:t>
      </w:r>
      <w:r>
        <w:t xml:space="preserve">modules procured under this Purchase Order shall be configured to operate exclusively within the governmental network infrastructure of the</w:t>
      </w:r>
      <w:r>
        <w:t xml:space="preserve"> </w:t>
      </w:r>
      <w:r>
        <w:rPr>
          <w:bCs/>
          <w:b/>
        </w:rPr>
        <w:t xml:space="preserve">Brazil Brasília</w:t>
      </w:r>
      <w:r>
        <w:t xml:space="preserve"> </w:t>
      </w:r>
      <w:r>
        <w:t xml:space="preserve">administrative complex, ensuring compliance with the Brazilian General Data Protection Law (LGPD – Lei Geral de Proteção de Dados, Law No. 13.709/2018) and the data sovereignty requirements established by the National Data Protection Authority (ANPD).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Actor Enterprise Platform – Perpetual License (Core Workflow Engine, Document Management, and Approval Routing Modules) for 2,500 concurrent users in Brazil Brasília</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Actor Advanced Analytics &amp; Reporting Module – Annual subscription for Brazil Brasília administrative offices</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Actor Mobile Application License – iOS and Android – 2,500 seats for field personnel in Brazil Brasília</w:t>
            </w:r>
          </w:p>
        </w:tc>
        <w:tc>
          <w:tcPr/>
          <w:p>
            <w:pPr>
              <w:pStyle w:val="Compact"/>
              <w:jc w:val="left"/>
            </w:pPr>
            <w:r>
              <w:t xml:space="preserve">2,500</w:t>
            </w:r>
          </w:p>
        </w:tc>
        <w:tc>
          <w:tcPr/>
          <w:p>
            <w:pPr>
              <w:pStyle w:val="Compact"/>
              <w:jc w:val="left"/>
            </w:pPr>
            <w:r>
              <w:t xml:space="preserve">45.00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Actor Integration Services – Custom API development for integration with the Brazilian Federal Government's SICONV and e-SIC systems, deployed in Brazil Brasília data centre</w:t>
            </w:r>
          </w:p>
        </w:tc>
        <w:tc>
          <w:tcPr/>
          <w:p>
            <w:pPr>
              <w:pStyle w:val="Compact"/>
              <w:jc w:val="left"/>
            </w:pPr>
            <w:r>
              <w:t xml:space="preserve">1</w:t>
            </w:r>
          </w:p>
        </w:tc>
        <w:tc>
          <w:tcPr/>
          <w:p>
            <w:pPr>
              <w:pStyle w:val="Compact"/>
              <w:jc w:val="left"/>
            </w:pPr>
            <w:r>
              <w:t xml:space="preserve">138,000.00</w:t>
            </w:r>
          </w:p>
        </w:tc>
        <w:tc>
          <w:tcPr/>
          <w:p>
            <w:pPr>
              <w:pStyle w:val="Compact"/>
              <w:jc w:val="left"/>
            </w:pPr>
            <w:r>
              <w:t xml:space="preserve">138,000.00</w:t>
            </w:r>
          </w:p>
        </w:tc>
      </w:tr>
      <w:tr>
        <w:tc>
          <w:tcPr/>
          <w:p>
            <w:pPr>
              <w:pStyle w:val="Compact"/>
              <w:jc w:val="left"/>
            </w:pPr>
            <w:r>
              <w:t xml:space="preserve">05</w:t>
            </w:r>
          </w:p>
        </w:tc>
        <w:tc>
          <w:tcPr/>
          <w:p>
            <w:pPr>
              <w:pStyle w:val="Compact"/>
              <w:jc w:val="left"/>
            </w:pPr>
            <w:r>
              <w:t xml:space="preserve">Actor On-Site Implementation &amp; Training – 10-day deployment team in Brazil Brasília (5 engineers, 2 trainers, 1 project manager)</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06</w:t>
            </w:r>
          </w:p>
        </w:tc>
        <w:tc>
          <w:tcPr/>
          <w:p>
            <w:pPr>
              <w:pStyle w:val="Compact"/>
              <w:jc w:val="left"/>
            </w:pPr>
            <w:r>
              <w:t xml:space="preserve">Actor Premium Technical Support – 3-year contract, 24/7 coverage, on-site response within 4 hours in Brazil Brasília</w:t>
            </w:r>
          </w:p>
        </w:tc>
        <w:tc>
          <w:tcPr/>
          <w:p>
            <w:pPr>
              <w:pStyle w:val="Compact"/>
              <w:jc w:val="left"/>
            </w:pPr>
            <w:r>
              <w:t xml:space="preserve">3</w:t>
            </w:r>
          </w:p>
        </w:tc>
        <w:tc>
          <w:tcPr/>
          <w:p>
            <w:pPr>
              <w:pStyle w:val="Compact"/>
              <w:jc w:val="left"/>
            </w:pPr>
            <w:r>
              <w:t xml:space="preserve">34,000.00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Actor Security &amp; Compliance Audit – LGPD and ANPD compliance certification for Brazil Brasília deployment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4"/>
          </w:tcPr>
          <w:p>
            <w:pPr>
              <w:pStyle w:val="Compact"/>
              <w:jc w:val="left"/>
            </w:pPr>
            <w:r>
              <w:rPr>
                <w:bCs/>
                <w:b/>
              </w:rPr>
              <w:t xml:space="preserve">Subtotal (USD)</w:t>
            </w:r>
          </w:p>
        </w:tc>
        <w:tc>
          <w:tcPr/>
          <w:p>
            <w:pPr>
              <w:pStyle w:val="Compact"/>
              <w:jc w:val="left"/>
            </w:pPr>
            <w:r>
              <w:rPr>
                <w:bCs/>
                <w:b/>
              </w:rPr>
              <w:t xml:space="preserve">1,034,500.00</w:t>
            </w:r>
          </w:p>
        </w:tc>
      </w:tr>
      <w:tr>
        <w:tc>
          <w:tcPr>
            <w:gridSpan w:val="4"/>
          </w:tcPr>
          <w:p>
            <w:pPr>
              <w:pStyle w:val="Compact"/>
              <w:jc w:val="left"/>
            </w:pPr>
            <w:r>
              <w:t xml:space="preserve">Applicable Import Tax (II – Imposto de Importação, 18%)</w:t>
            </w:r>
          </w:p>
        </w:tc>
        <w:tc>
          <w:tcPr/>
          <w:p>
            <w:pPr>
              <w:pStyle w:val="Compact"/>
              <w:jc w:val="left"/>
            </w:pPr>
            <w:r>
              <w:t xml:space="preserve">186,210.00</w:t>
            </w:r>
          </w:p>
        </w:tc>
      </w:tr>
      <w:tr>
        <w:tc>
          <w:tcPr>
            <w:gridSpan w:val="4"/>
          </w:tcPr>
          <w:p>
            <w:pPr>
              <w:pStyle w:val="Compact"/>
              <w:jc w:val="left"/>
            </w:pPr>
            <w:r>
              <w:t xml:space="preserve">ICMS (Imposto sobre Circulação de Mercadorias e Serviços, 18%)</w:t>
            </w:r>
          </w:p>
        </w:tc>
        <w:tc>
          <w:tcPr/>
          <w:p>
            <w:pPr>
              <w:pStyle w:val="Compact"/>
              <w:jc w:val="left"/>
            </w:pPr>
            <w:r>
              <w:t xml:space="preserve">186,210.00</w:t>
            </w:r>
          </w:p>
        </w:tc>
      </w:tr>
      <w:tr>
        <w:tc>
          <w:tcPr>
            <w:gridSpan w:val="4"/>
          </w:tcPr>
          <w:p>
            <w:pPr>
              <w:pStyle w:val="Compact"/>
              <w:jc w:val="left"/>
            </w:pPr>
            <w:r>
              <w:t xml:space="preserve">PIS/COFINS (4.65%)</w:t>
            </w:r>
          </w:p>
        </w:tc>
        <w:tc>
          <w:tcPr/>
          <w:p>
            <w:pPr>
              <w:pStyle w:val="Compact"/>
              <w:jc w:val="left"/>
            </w:pPr>
            <w:r>
              <w:t xml:space="preserve">48,104.25</w:t>
            </w:r>
          </w:p>
        </w:tc>
      </w:tr>
      <w:tr>
        <w:tc>
          <w:tcPr>
            <w:gridSpan w:val="4"/>
          </w:tcPr>
          <w:p>
            <w:pPr>
              <w:pStyle w:val="Compact"/>
              <w:jc w:val="left"/>
            </w:pPr>
            <w:r>
              <w:rPr>
                <w:bCs/>
                <w:b/>
              </w:rPr>
              <w:t xml:space="preserve">Grand Total (USD)</w:t>
            </w:r>
          </w:p>
        </w:tc>
        <w:tc>
          <w:tcPr/>
          <w:p>
            <w:pPr>
              <w:pStyle w:val="Compact"/>
              <w:jc w:val="left"/>
            </w:pPr>
            <w:r>
              <w:rPr>
                <w:bCs/>
                <w:b/>
              </w:rPr>
              <w:t xml:space="preserve">1,455,024.25</w:t>
            </w:r>
          </w:p>
        </w:tc>
      </w:tr>
    </w:tbl>
    <w:bookmarkEnd w:id="22"/>
    <w:bookmarkStart w:id="23" w:name="delivery-and-deployment-terms"/>
    <w:p>
      <w:pPr>
        <w:pStyle w:val="Heading2"/>
      </w:pPr>
      <w:r>
        <w:t xml:space="preserve">4. Delivery and Deployment Terms</w:t>
      </w:r>
    </w:p>
    <w:p>
      <w:pPr>
        <w:pStyle w:val="FirstParagraph"/>
      </w:pPr>
      <w:r>
        <w:t xml:space="preserve">All</w:t>
      </w:r>
      <w:r>
        <w:t xml:space="preserve"> </w:t>
      </w:r>
      <w:r>
        <w:rPr>
          <w:bCs/>
          <w:b/>
        </w:rPr>
        <w:t xml:space="preserve">Actor</w:t>
      </w:r>
      <w:r>
        <w:t xml:space="preserve"> </w:t>
      </w:r>
      <w:r>
        <w:t xml:space="preserve">software deliverables shall be provided in electronic format via secure encrypted transfer to the Buyer's designated server infrastructure located in the</w:t>
      </w:r>
      <w:r>
        <w:t xml:space="preserve"> </w:t>
      </w:r>
      <w:r>
        <w:rPr>
          <w:bCs/>
          <w:b/>
        </w:rPr>
        <w:t xml:space="preserve">Brazil Brasília</w:t>
      </w:r>
      <w:r>
        <w:t xml:space="preserve"> </w:t>
      </w:r>
      <w:r>
        <w:t xml:space="preserve">Federal Government Data Centre (Centro de Dados do Governo Federal – CDFG), Setor de Autarquias Sul, Quadra 6, Lote 1,</w:t>
      </w:r>
      <w:r>
        <w:t xml:space="preserve"> </w:t>
      </w:r>
      <w:r>
        <w:rPr>
          <w:bCs/>
          <w:b/>
        </w:rPr>
        <w:t xml:space="preserve">Brasília</w:t>
      </w:r>
      <w:r>
        <w:t xml:space="preserve">, DF – 70070-600, Brazil. Physical hardware components, if any, shall be delivered to the same address no later than 30 June 2025.</w:t>
      </w:r>
    </w:p>
    <w:p>
      <w:pPr>
        <w:pStyle w:val="BodyText"/>
      </w:pPr>
      <w:r>
        <w:t xml:space="preserve">The on-site implementation team for the</w:t>
      </w:r>
      <w:r>
        <w:t xml:space="preserve"> </w:t>
      </w:r>
      <w:r>
        <w:rPr>
          <w:bCs/>
          <w:b/>
        </w:rPr>
        <w:t xml:space="preserve">Actor</w:t>
      </w:r>
      <w:r>
        <w:t xml:space="preserve"> </w:t>
      </w:r>
      <w:r>
        <w:t xml:space="preserve">platform shall be physically present in</w:t>
      </w:r>
      <w:r>
        <w:t xml:space="preserve"> </w:t>
      </w:r>
      <w:r>
        <w:rPr>
          <w:bCs/>
          <w:b/>
        </w:rPr>
        <w:t xml:space="preserve">Brazil Brasília</w:t>
      </w:r>
      <w:r>
        <w:t xml:space="preserve"> </w:t>
      </w:r>
      <w:r>
        <w:t xml:space="preserve">for a minimum of ten (10) consecutive business days commencing on 1 July 2025. The Supplier shall bear all travel, accommodation, and per diem expenses for personnel deployed to</w:t>
      </w:r>
      <w:r>
        <w:t xml:space="preserve"> </w:t>
      </w:r>
      <w:r>
        <w:rPr>
          <w:bCs/>
          <w:b/>
        </w:rPr>
        <w:t xml:space="preserve">Brazil Brasília</w:t>
      </w:r>
      <w:r>
        <w:t xml:space="preserve"> </w:t>
      </w:r>
      <w:r>
        <w:t xml:space="preserve">as part of the implementation scope defined in Item 05 above.</w:t>
      </w:r>
    </w:p>
    <w:p>
      <w:pPr>
        <w:pStyle w:val="BodyText"/>
      </w:pPr>
      <w:r>
        <w:t xml:space="preserve">Full operational readiness of the</w:t>
      </w:r>
      <w:r>
        <w:t xml:space="preserve"> </w:t>
      </w:r>
      <w:r>
        <w:rPr>
          <w:bCs/>
          <w:b/>
        </w:rPr>
        <w:t xml:space="preserve">Actor</w:t>
      </w:r>
      <w:r>
        <w:t xml:space="preserve"> </w:t>
      </w:r>
      <w:r>
        <w:t xml:space="preserve">platform in</w:t>
      </w:r>
      <w:r>
        <w:t xml:space="preserve"> </w:t>
      </w:r>
      <w:r>
        <w:rPr>
          <w:bCs/>
          <w:b/>
        </w:rPr>
        <w:t xml:space="preserve">Brazil Brasília</w:t>
      </w:r>
      <w:r>
        <w:t xml:space="preserve"> </w:t>
      </w:r>
      <w:r>
        <w:t xml:space="preserve">shall be achieved no later than 31 July 2025, subject to a formal acceptance test (Teste de Aceite) conducted by the Buyer's IT department in the Federal District.</w:t>
      </w:r>
    </w:p>
    <w:bookmarkEnd w:id="23"/>
    <w:bookmarkStart w:id="24" w:name="payment-terms"/>
    <w:p>
      <w:pPr>
        <w:pStyle w:val="Heading2"/>
      </w:pPr>
      <w:r>
        <w:t xml:space="preserve">5. Payment Terms</w:t>
      </w:r>
    </w:p>
    <w:p>
      <w:pPr>
        <w:pStyle w:val="FirstParagraph"/>
      </w:pPr>
      <w:r>
        <w:t xml:space="preserve">Payment shall be made in Brazilian Reais (BRL) at the Central Bank of Brazil (Banco Central do Brasil) exchange rate on the date of each invoice, via electronic bank transfer (TED/PIX) to the account designated by the Supplier. The payment schedule is as follows:</w:t>
      </w:r>
    </w:p>
    <w:p>
      <w:pPr>
        <w:numPr>
          <w:ilvl w:val="0"/>
          <w:numId w:val="1001"/>
        </w:numPr>
        <w:pStyle w:val="Compact"/>
      </w:pPr>
      <w:r>
        <w:rPr>
          <w:bCs/>
          <w:b/>
        </w:rPr>
        <w:t xml:space="preserve">30% advance payment</w:t>
      </w:r>
      <w:r>
        <w:t xml:space="preserve"> </w:t>
      </w:r>
      <w:r>
        <w:t xml:space="preserve">upon signature of this Purchase Order and issuance of the corresponding Nota Fiscal (NF-e).</w:t>
      </w:r>
    </w:p>
    <w:p>
      <w:pPr>
        <w:numPr>
          <w:ilvl w:val="0"/>
          <w:numId w:val="1001"/>
        </w:numPr>
        <w:pStyle w:val="Compact"/>
      </w:pPr>
      <w:r>
        <w:rPr>
          <w:bCs/>
          <w:b/>
        </w:rPr>
        <w:t xml:space="preserve">40% payment</w:t>
      </w:r>
      <w:r>
        <w:t xml:space="preserve"> </w:t>
      </w:r>
      <w:r>
        <w:t xml:space="preserve">upon successful completion of the</w:t>
      </w:r>
      <w:r>
        <w:t xml:space="preserve"> </w:t>
      </w:r>
      <w:r>
        <w:rPr>
          <w:bCs/>
          <w:b/>
        </w:rPr>
        <w:t xml:space="preserve">Actor</w:t>
      </w:r>
      <w:r>
        <w:t xml:space="preserve"> </w:t>
      </w:r>
      <w:r>
        <w:t xml:space="preserve">platform deployment and acceptance testing in</w:t>
      </w:r>
      <w:r>
        <w:t xml:space="preserve"> </w:t>
      </w:r>
      <w:r>
        <w:rPr>
          <w:bCs/>
          <w:b/>
        </w:rPr>
        <w:t xml:space="preserve">Brazil Brasília</w:t>
      </w:r>
      <w:r>
        <w:t xml:space="preserve">.</w:t>
      </w:r>
    </w:p>
    <w:p>
      <w:pPr>
        <w:numPr>
          <w:ilvl w:val="0"/>
          <w:numId w:val="1001"/>
        </w:numPr>
        <w:pStyle w:val="Compact"/>
      </w:pPr>
      <w:r>
        <w:rPr>
          <w:bCs/>
          <w:b/>
        </w:rPr>
        <w:t xml:space="preserve">30% final payment</w:t>
      </w:r>
      <w:r>
        <w:t xml:space="preserve"> </w:t>
      </w:r>
      <w:r>
        <w:t xml:space="preserve">upon expiry of the 90-day warranty and defect-correction period following the acceptance date.</w:t>
      </w:r>
    </w:p>
    <w:p>
      <w:pPr>
        <w:pStyle w:val="FirstParagraph"/>
      </w:pPr>
      <w:r>
        <w:t xml:space="preserve">All invoices must reference this Purchase Order number (PO-BR-2025-04872) and the</w:t>
      </w:r>
      <w:r>
        <w:t xml:space="preserve"> </w:t>
      </w:r>
      <w:r>
        <w:rPr>
          <w:bCs/>
          <w:b/>
        </w:rPr>
        <w:t xml:space="preserve">Actor</w:t>
      </w:r>
      <w:r>
        <w:t xml:space="preserve"> </w:t>
      </w:r>
      <w:r>
        <w:t xml:space="preserve">product identification code. Late payments shall be subject to the interest rates defined in Brazilian Federal Law No. 10.522/2002.</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Federative Republic of Brazil, particularly Law No. 14.133/2021 (Nova Lei de Licitações e Contratos Administrativos) and its regulatory decrees.</w:t>
      </w:r>
    </w:p>
    <w:p>
      <w:pPr>
        <w:numPr>
          <w:ilvl w:val="0"/>
          <w:numId w:val="1002"/>
        </w:numPr>
        <w:pStyle w:val="Compact"/>
      </w:pPr>
      <w:r>
        <w:t xml:space="preserve">The Supplier warrants that the</w:t>
      </w:r>
      <w:r>
        <w:t xml:space="preserve"> </w:t>
      </w:r>
      <w:r>
        <w:rPr>
          <w:bCs/>
          <w:b/>
        </w:rPr>
        <w:t xml:space="preserve">Actor</w:t>
      </w:r>
      <w:r>
        <w:t xml:space="preserve"> </w:t>
      </w:r>
      <w:r>
        <w:t xml:space="preserve">platform shall be free from intellectual property infringement claims and shall not contain any backdoors, hidden code, or unauthorised data transmission mechanisms.</w:t>
      </w:r>
    </w:p>
    <w:p>
      <w:pPr>
        <w:numPr>
          <w:ilvl w:val="0"/>
          <w:numId w:val="1002"/>
        </w:numPr>
        <w:pStyle w:val="Compact"/>
      </w:pPr>
      <w:r>
        <w:t xml:space="preserve">All data processed by the</w:t>
      </w:r>
      <w:r>
        <w:t xml:space="preserve"> </w:t>
      </w:r>
      <w:r>
        <w:rPr>
          <w:bCs/>
          <w:b/>
        </w:rPr>
        <w:t xml:space="preserve">Actor</w:t>
      </w:r>
      <w:r>
        <w:t xml:space="preserve"> </w:t>
      </w:r>
      <w:r>
        <w:t xml:space="preserve">system within</w:t>
      </w:r>
      <w:r>
        <w:t xml:space="preserve"> </w:t>
      </w:r>
      <w:r>
        <w:rPr>
          <w:bCs/>
          <w:b/>
        </w:rPr>
        <w:t xml:space="preserve">Brazil Brasília</w:t>
      </w:r>
      <w:r>
        <w:t xml:space="preserve"> </w:t>
      </w:r>
      <w:r>
        <w:t xml:space="preserve">shall be stored exclusively on servers physically located within the national territory of Brazil, in strict compliance with ANPD Resolution No. 19/2022 on data localisation.</w:t>
      </w:r>
    </w:p>
    <w:p>
      <w:pPr>
        <w:numPr>
          <w:ilvl w:val="0"/>
          <w:numId w:val="1002"/>
        </w:numPr>
        <w:pStyle w:val="Compact"/>
      </w:pPr>
      <w:r>
        <w:t xml:space="preserve">The Supplier shall provide a minimum three (3) year warranty on all</w:t>
      </w:r>
      <w:r>
        <w:t xml:space="preserve"> </w:t>
      </w:r>
      <w:r>
        <w:rPr>
          <w:bCs/>
          <w:b/>
        </w:rPr>
        <w:t xml:space="preserve">Actor</w:t>
      </w:r>
      <w:r>
        <w:t xml:space="preserve"> </w:t>
      </w:r>
      <w:r>
        <w:t xml:space="preserve">software modules, including bug fixes, security patches, and compatibility updates for the</w:t>
      </w:r>
      <w:r>
        <w:t xml:space="preserve"> </w:t>
      </w:r>
      <w:r>
        <w:rPr>
          <w:bCs/>
          <w:b/>
        </w:rPr>
        <w:t xml:space="preserve">Brazil Brasília</w:t>
      </w:r>
      <w:r>
        <w:t xml:space="preserve"> </w:t>
      </w:r>
      <w:r>
        <w:t xml:space="preserve">deployment environment.</w:t>
      </w:r>
    </w:p>
    <w:p>
      <w:pPr>
        <w:numPr>
          <w:ilvl w:val="0"/>
          <w:numId w:val="1002"/>
        </w:numPr>
        <w:pStyle w:val="Compact"/>
      </w:pPr>
      <w:r>
        <w:t xml:space="preserve">Any dispute arising from this Purchase Order shall be resolved by the competent courts of</w:t>
      </w:r>
      <w:r>
        <w:t xml:space="preserve"> </w:t>
      </w:r>
      <w:r>
        <w:rPr>
          <w:bCs/>
          <w:b/>
        </w:rPr>
        <w:t xml:space="preserve">Brasília</w:t>
      </w:r>
      <w:r>
        <w:t xml:space="preserve">, Federal District, Brazil, with exclusive jurisdiction.</w:t>
      </w:r>
    </w:p>
    <w:p>
      <w:pPr>
        <w:numPr>
          <w:ilvl w:val="0"/>
          <w:numId w:val="1002"/>
        </w:numPr>
        <w:pStyle w:val="Compact"/>
      </w:pPr>
      <w:r>
        <w:t xml:space="preserve">The Supplier shall maintain a dedicated technical liaison office in</w:t>
      </w:r>
      <w:r>
        <w:t xml:space="preserve"> </w:t>
      </w:r>
      <w:r>
        <w:rPr>
          <w:bCs/>
          <w:b/>
        </w:rPr>
        <w:t xml:space="preserve">Brazil Brasília</w:t>
      </w:r>
      <w:r>
        <w:t xml:space="preserve"> </w:t>
      </w:r>
      <w:r>
        <w:t xml:space="preserve">for the duration of the support contract to ensure rapid response to operational issues affecting the</w:t>
      </w:r>
      <w:r>
        <w:t xml:space="preserve"> </w:t>
      </w:r>
      <w:r>
        <w:rPr>
          <w:bCs/>
          <w:b/>
        </w:rPr>
        <w:t xml:space="preserve">Actor</w:t>
      </w:r>
      <w:r>
        <w:t xml:space="preserve"> </w:t>
      </w:r>
      <w:r>
        <w:t xml:space="preserve">platform.</w:t>
      </w:r>
    </w:p>
    <w:p>
      <w:pPr>
        <w:numPr>
          <w:ilvl w:val="0"/>
          <w:numId w:val="1002"/>
        </w:numPr>
        <w:pStyle w:val="Compact"/>
      </w:pPr>
      <w:r>
        <w:t xml:space="preserve">This Purchase Order becomes effective upon countersignature by both parties and the issuance of the corresponding electronic tax document (NF-e) by the Buyer's financial department in</w:t>
      </w:r>
      <w:r>
        <w:t xml:space="preserve"> </w:t>
      </w:r>
      <w:r>
        <w:rPr>
          <w:bCs/>
          <w:b/>
        </w:rPr>
        <w:t xml:space="preserve">Brasília</w:t>
      </w:r>
      <w:r>
        <w:t xml:space="preserve">.</w:t>
      </w:r>
    </w:p>
    <w:bookmarkEnd w:id="25"/>
    <w:bookmarkStart w:id="26" w:name="authorisation-and-signatures"/>
    <w:p>
      <w:pPr>
        <w:pStyle w:val="Heading2"/>
      </w:pPr>
      <w:r>
        <w:t xml:space="preserve">7. Authorisation and Signatures</w:t>
      </w:r>
    </w:p>
    <w:p>
      <w:pPr>
        <w:pStyle w:val="FirstParagraph"/>
      </w:pPr>
      <w:r>
        <w:t xml:space="preserve">This Purchase Order is issued in two (2) original copies, one for each party, and shall be considered valid only when signed and stamped by the authorised representatives of both the Buyer and the Supplier.</w:t>
      </w:r>
    </w:p>
    <w:p>
      <w:pPr>
        <w:pStyle w:val="BodyText"/>
      </w:pPr>
      <w:r>
        <w:rPr>
          <w:bCs/>
          <w:b/>
        </w:rPr>
        <w:t xml:space="preserve">For the Buyer (Purchasing Entity)</w:t>
      </w:r>
      <w:r>
        <w:br/>
      </w:r>
      <w:r>
        <w:br/>
      </w:r>
      <w:r>
        <w:br/>
      </w:r>
      <w:r>
        <w:t xml:space="preserve">_______________________________</w:t>
      </w:r>
      <w:r>
        <w:br/>
      </w:r>
      <w:r>
        <w:t xml:space="preserve">Name: Dr. Helena Vasconcelos Ribeiro</w:t>
      </w:r>
      <w:r>
        <w:br/>
      </w:r>
      <w:r>
        <w:t xml:space="preserve">Title: Directora de Compras e Contratações</w:t>
      </w:r>
      <w:r>
        <w:br/>
      </w:r>
      <w:r>
        <w:t xml:space="preserve">Ministério da Gestão e da Inovação em Serviços Digitais</w:t>
      </w:r>
      <w:r>
        <w:br/>
      </w:r>
      <w:r>
        <w:t xml:space="preserve">Brasília, DF – Brazil</w:t>
      </w:r>
      <w:r>
        <w:br/>
      </w:r>
      <w:r>
        <w:t xml:space="preserve">Date: _______________</w:t>
      </w:r>
    </w:p>
    <w:p>
      <w:pPr>
        <w:pStyle w:val="BodyText"/>
      </w:pPr>
      <w:r>
        <w:rPr>
          <w:bCs/>
          <w:b/>
        </w:rPr>
        <w:t xml:space="preserve">For the Supplier (Vendor)</w:t>
      </w:r>
      <w:r>
        <w:br/>
      </w:r>
      <w:r>
        <w:br/>
      </w:r>
      <w:r>
        <w:br/>
      </w:r>
      <w:r>
        <w:t xml:space="preserve">_______________________________</w:t>
      </w:r>
      <w:r>
        <w:br/>
      </w:r>
      <w:r>
        <w:t xml:space="preserve">Name: Mr. James T. Whitfield</w:t>
      </w:r>
      <w:r>
        <w:br/>
      </w:r>
      <w:r>
        <w:t xml:space="preserve">Title: Regional Director – Latin America</w:t>
      </w:r>
      <w:r>
        <w:br/>
      </w:r>
      <w:r>
        <w:t xml:space="preserve">Actor Technologies International S.A.</w:t>
      </w:r>
      <w:r>
        <w:br/>
      </w:r>
      <w:r>
        <w:t xml:space="preserve">Austin, TX – United States</w:t>
      </w:r>
      <w:r>
        <w:br/>
      </w:r>
      <w:r>
        <w:t xml:space="preserve">Date: _______________</w:t>
      </w:r>
    </w:p>
    <w:p>
      <w:pPr>
        <w:pStyle w:val="BodyText"/>
      </w:pPr>
      <w:r>
        <w:t xml:space="preserve">Document generated electronically – Purchase Order PO-BR-2025-04872 – Actor Platform Deployment – Brazil Brasília – 14/06/2025</w:t>
      </w:r>
      <w:r>
        <w:br/>
      </w:r>
      <w:r>
        <w:t xml:space="preserve">This document is valid without a physical signature in accordance with Brazilian Law No. 14.063/2020 (Electronic Documents in Administrative Proceedings).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Brazil Brasília</dc:title>
  <dc:creator/>
  <dc:language>en</dc:language>
  <cp:keywords/>
  <dcterms:created xsi:type="dcterms:W3CDTF">2026-10-10T05:12:24Z</dcterms:created>
  <dcterms:modified xsi:type="dcterms:W3CDTF">2026-10-10T05:12:24Z</dcterms:modified>
</cp:coreProperties>
</file>

<file path=docProps/custom.xml><?xml version="1.0" encoding="utf-8"?>
<Properties xmlns="http://schemas.openxmlformats.org/officeDocument/2006/custom-properties" xmlns:vt="http://schemas.openxmlformats.org/officeDocument/2006/docPropsVTypes"/>
</file>