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7" w:name="purchase-order"/>
    <w:p>
      <w:pPr>
        <w:pStyle w:val="Heading1"/>
      </w:pPr>
      <w:r>
        <w:t xml:space="preserve">PURCHASE ORDER</w:t>
      </w:r>
    </w:p>
    <w:p>
      <w:pPr>
        <w:pStyle w:val="FirstParagraph"/>
      </w:pPr>
      <w:r>
        <w:rPr>
          <w:bCs/>
          <w:b/>
        </w:rPr>
        <w:t xml:space="preserve">Purchase Order Number:</w:t>
      </w:r>
      <w:r>
        <w:t xml:space="preserve"> </w:t>
      </w:r>
      <w:r>
        <w:t xml:space="preserve">PO-BR-RJ-2025-04872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Destination:</w:t>
      </w:r>
      <w:r>
        <w:t xml:space="preserve"> </w:t>
      </w:r>
      <w:r>
        <w:t xml:space="preserve">Brazil, Rio de Janeiro</w:t>
      </w:r>
    </w:p>
    <w:p>
      <w:pPr>
        <w:pStyle w:val="BodyText"/>
      </w:pPr>
      <w:r>
        <w:rPr>
          <w:bCs/>
          <w:b/>
        </w:rPr>
        <w:t xml:space="preserve">Priority:</w:t>
      </w:r>
      <w:r>
        <w:t xml:space="preserve"> </w:t>
      </w:r>
      <w:r>
        <w:t xml:space="preserve">Standard</w:t>
      </w:r>
      <w:r>
        <w:br/>
      </w:r>
      <w:r>
        <w:rPr>
          <w:bCs/>
          <w:b/>
        </w:rPr>
        <w:t xml:space="preserve">Payment Terms:</w:t>
      </w:r>
      <w:r>
        <w:t xml:space="preserve"> </w:t>
      </w:r>
      <w:r>
        <w:t xml:space="preserve">Net 30 Days</w:t>
      </w:r>
      <w:r>
        <w:br/>
      </w:r>
      <w:r>
        <w:rPr>
          <w:bCs/>
          <w:b/>
        </w:rPr>
        <w:t xml:space="preserve">Currency:</w:t>
      </w:r>
      <w:r>
        <w:t xml:space="preserve"> </w:t>
      </w:r>
      <w:r>
        <w:t xml:space="preserve">Brazilian Real (BRL / R$)</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Grupo Horizonte Digital S.A.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Avenida Rio Branco, 1200, Sala 850, Centro, Rio de Janeiro, RJ, 20090-000, Brazil</w:t>
            </w:r>
          </w:p>
        </w:tc>
      </w:tr>
      <w:tr>
        <w:tc>
          <w:tcPr/>
          <w:p>
            <w:pPr>
              <w:pStyle w:val="Compact"/>
              <w:jc w:val="left"/>
            </w:pPr>
            <w:r>
              <w:t xml:space="preserve">City / State</w:t>
            </w:r>
          </w:p>
        </w:tc>
        <w:tc>
          <w:tcPr/>
          <w:p>
            <w:pPr>
              <w:pStyle w:val="Compact"/>
              <w:jc w:val="left"/>
            </w:pPr>
            <w:r>
              <w:t xml:space="preserve">Rio de Janeiro, Rio de Janeiro (RJ)</w:t>
            </w:r>
          </w:p>
        </w:tc>
      </w:tr>
      <w:tr>
        <w:tc>
          <w:tcPr/>
          <w:p>
            <w:pPr>
              <w:pStyle w:val="Compact"/>
              <w:jc w:val="left"/>
            </w:pPr>
            <w:r>
              <w:t xml:space="preserve">Contact Person</w:t>
            </w:r>
          </w:p>
        </w:tc>
        <w:tc>
          <w:tcPr/>
          <w:p>
            <w:pPr>
              <w:pStyle w:val="Compact"/>
              <w:jc w:val="left"/>
            </w:pPr>
            <w:r>
              <w:t xml:space="preserve">Mariana Costa Ferreira – Procurement Manager</w:t>
            </w:r>
          </w:p>
        </w:tc>
      </w:tr>
      <w:tr>
        <w:tc>
          <w:tcPr/>
          <w:p>
            <w:pPr>
              <w:pStyle w:val="Compact"/>
              <w:jc w:val="left"/>
            </w:pPr>
            <w:r>
              <w:t xml:space="preserve">Email</w:t>
            </w:r>
          </w:p>
        </w:tc>
        <w:tc>
          <w:tcPr/>
          <w:p>
            <w:pPr>
              <w:pStyle w:val="Compact"/>
              <w:jc w:val="left"/>
            </w:pPr>
            <w:r>
              <w:t xml:space="preserve">compras@grupohorizonte.com.br</w:t>
            </w:r>
          </w:p>
        </w:tc>
      </w:tr>
      <w:tr>
        <w:tc>
          <w:tcPr/>
          <w:p>
            <w:pPr>
              <w:pStyle w:val="Compact"/>
              <w:jc w:val="left"/>
            </w:pPr>
            <w:r>
              <w:t xml:space="preserve">Phone</w:t>
            </w:r>
          </w:p>
        </w:tc>
        <w:tc>
          <w:tcPr/>
          <w:p>
            <w:pPr>
              <w:pStyle w:val="Compact"/>
              <w:jc w:val="left"/>
            </w:pPr>
            <w:r>
              <w:t xml:space="preserve">+55 (21) 3456-7890</w:t>
            </w:r>
          </w:p>
        </w:tc>
      </w:tr>
    </w:tbl>
    <w:bookmarkEnd w:id="20"/>
    <w:bookmarkStart w:id="21"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Actor Technologies International Ltd.</w:t>
            </w:r>
          </w:p>
        </w:tc>
      </w:tr>
      <w:tr>
        <w:tc>
          <w:tcPr/>
          <w:p>
            <w:pPr>
              <w:pStyle w:val="Compact"/>
              <w:jc w:val="left"/>
            </w:pPr>
            <w:r>
              <w:t xml:space="preserve">Tax ID / Registration</w:t>
            </w:r>
          </w:p>
        </w:tc>
        <w:tc>
          <w:tcPr/>
          <w:p>
            <w:pPr>
              <w:pStyle w:val="Compact"/>
              <w:jc w:val="left"/>
            </w:pPr>
            <w:r>
              <w:t xml:space="preserve">UK-GB-99887766</w:t>
            </w:r>
          </w:p>
        </w:tc>
      </w:tr>
      <w:tr>
        <w:tc>
          <w:tcPr/>
          <w:p>
            <w:pPr>
              <w:pStyle w:val="Compact"/>
              <w:jc w:val="left"/>
            </w:pPr>
            <w:r>
              <w:t xml:space="preserve">Address</w:t>
            </w:r>
          </w:p>
        </w:tc>
        <w:tc>
          <w:tcPr/>
          <w:p>
            <w:pPr>
              <w:pStyle w:val="Compact"/>
              <w:jc w:val="left"/>
            </w:pPr>
            <w:r>
              <w:t xml:space="preserve">42 Innovation Park, Cambridge, CB4 0AL, United Kingdom</w:t>
            </w:r>
          </w:p>
        </w:tc>
      </w:tr>
      <w:tr>
        <w:tc>
          <w:tcPr/>
          <w:p>
            <w:pPr>
              <w:pStyle w:val="Compact"/>
              <w:jc w:val="left"/>
            </w:pPr>
            <w:r>
              <w:t xml:space="preserve">Contact Person</w:t>
            </w:r>
          </w:p>
        </w:tc>
        <w:tc>
          <w:tcPr/>
          <w:p>
            <w:pPr>
              <w:pStyle w:val="Compact"/>
              <w:jc w:val="left"/>
            </w:pPr>
            <w:r>
              <w:t xml:space="preserve">James Whitfield – Regional Sales Director, Latin America</w:t>
            </w:r>
          </w:p>
        </w:tc>
      </w:tr>
      <w:tr>
        <w:tc>
          <w:tcPr/>
          <w:p>
            <w:pPr>
              <w:pStyle w:val="Compact"/>
              <w:jc w:val="left"/>
            </w:pPr>
            <w:r>
              <w:t xml:space="preserve">Email</w:t>
            </w:r>
          </w:p>
        </w:tc>
        <w:tc>
          <w:tcPr/>
          <w:p>
            <w:pPr>
              <w:pStyle w:val="Compact"/>
              <w:jc w:val="left"/>
            </w:pPr>
            <w:r>
              <w:t xml:space="preserve">sales.latinamerica@actortechnologies.com</w:t>
            </w:r>
          </w:p>
        </w:tc>
      </w:tr>
      <w:tr>
        <w:tc>
          <w:tcPr/>
          <w:p>
            <w:pPr>
              <w:pStyle w:val="Compact"/>
              <w:jc w:val="left"/>
            </w:pPr>
            <w:r>
              <w:t xml:space="preserve">Phone</w:t>
            </w:r>
          </w:p>
        </w:tc>
        <w:tc>
          <w:tcPr/>
          <w:p>
            <w:pPr>
              <w:pStyle w:val="Compact"/>
              <w:jc w:val="left"/>
            </w:pPr>
            <w:r>
              <w:t xml:space="preserve">+44 (0)1223 456 789</w:t>
            </w:r>
          </w:p>
        </w:tc>
      </w:tr>
    </w:tbl>
    <w:bookmarkEnd w:id="21"/>
    <w:bookmarkStart w:id="22" w:name="X1c3f468f0230519aa05c5ac5fca45989b316be5"/>
    <w:p>
      <w:pPr>
        <w:pStyle w:val="Heading2"/>
      </w:pPr>
      <w:r>
        <w:t xml:space="preserve">3. Description of Goods / Services – Actor Platform</w:t>
      </w:r>
    </w:p>
    <w:p>
      <w:pPr>
        <w:pStyle w:val="FirstParagraph"/>
      </w:pPr>
      <w:r>
        <w:t xml:space="preserve">This Purchase Order is issued by Grupo Horizonte Digital S.A., headquartered in Rio de Janeiro, Brazil, to procure the</w:t>
      </w:r>
      <w:r>
        <w:t xml:space="preserve"> </w:t>
      </w:r>
      <w:r>
        <w:rPr>
          <w:bCs/>
          <w:b/>
        </w:rPr>
        <w:t xml:space="preserve">Actor</w:t>
      </w:r>
      <w:r>
        <w:t xml:space="preserve"> </w:t>
      </w:r>
      <w:r>
        <w:t xml:space="preserve">enterprise workflow automation and digital collaboration platform, along with associated implementation, licensing, and support services. The Actor platform will be deployed across all operational divisions of the buyer located in Rio de Janeiro, Brazil, to streamline internal processes, enhance inter-departmental communication, and provide a unified digital workspace for approximately 1,200 employees.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Actor Enterprise License – Annual Subscription (1,200 user seats), including full access to Actor workflow engine, Actor task management modules, Actor reporting dashboard, and Actor API integration layer for deployment in Rio de Janeiro, Brazil.</w:t>
            </w:r>
          </w:p>
        </w:tc>
        <w:tc>
          <w:tcPr/>
          <w:p>
            <w:pPr>
              <w:pStyle w:val="Compact"/>
              <w:jc w:val="left"/>
            </w:pPr>
            <w:r>
              <w:t xml:space="preserve">1</w:t>
            </w:r>
          </w:p>
        </w:tc>
        <w:tc>
          <w:tcPr/>
          <w:p>
            <w:pPr>
              <w:pStyle w:val="Compact"/>
              <w:jc w:val="left"/>
            </w:pPr>
            <w:r>
              <w:t xml:space="preserve">4,860,000.00</w:t>
            </w:r>
          </w:p>
        </w:tc>
        <w:tc>
          <w:tcPr/>
          <w:p>
            <w:pPr>
              <w:pStyle w:val="Compact"/>
              <w:jc w:val="left"/>
            </w:pPr>
            <w:r>
              <w:t xml:space="preserve">4,860,000.00</w:t>
            </w:r>
          </w:p>
        </w:tc>
      </w:tr>
      <w:tr>
        <w:tc>
          <w:tcPr/>
          <w:p>
            <w:pPr>
              <w:pStyle w:val="Compact"/>
              <w:jc w:val="left"/>
            </w:pPr>
            <w:r>
              <w:t xml:space="preserve">02</w:t>
            </w:r>
          </w:p>
        </w:tc>
        <w:tc>
          <w:tcPr/>
          <w:p>
            <w:pPr>
              <w:pStyle w:val="Compact"/>
              <w:jc w:val="left"/>
            </w:pPr>
            <w:r>
              <w:t xml:space="preserve">Actor Implementation &amp; Onboarding Services – On-site deployment at buyer's headquarters in Rio de Janeiro, RJ, Brazil. Includes system configuration, data migration from legacy platforms, user role mapping, and integration with existing ERP (SAP S/4HANA) and HR systems.</w:t>
            </w:r>
          </w:p>
        </w:tc>
        <w:tc>
          <w:tcPr/>
          <w:p>
            <w:pPr>
              <w:pStyle w:val="Compact"/>
              <w:jc w:val="left"/>
            </w:pPr>
            <w:r>
              <w:t xml:space="preserve">1</w:t>
            </w:r>
          </w:p>
        </w:tc>
        <w:tc>
          <w:tcPr/>
          <w:p>
            <w:pPr>
              <w:pStyle w:val="Compact"/>
              <w:jc w:val="left"/>
            </w:pPr>
            <w:r>
              <w:t xml:space="preserve">780,000.00</w:t>
            </w:r>
          </w:p>
        </w:tc>
        <w:tc>
          <w:tcPr/>
          <w:p>
            <w:pPr>
              <w:pStyle w:val="Compact"/>
              <w:jc w:val="left"/>
            </w:pPr>
            <w:r>
              <w:t xml:space="preserve">780,000.00</w:t>
            </w:r>
          </w:p>
        </w:tc>
      </w:tr>
      <w:tr>
        <w:tc>
          <w:tcPr/>
          <w:p>
            <w:pPr>
              <w:pStyle w:val="Compact"/>
              <w:jc w:val="left"/>
            </w:pPr>
            <w:r>
              <w:t xml:space="preserve">03</w:t>
            </w:r>
          </w:p>
        </w:tc>
        <w:tc>
          <w:tcPr/>
          <w:p>
            <w:pPr>
              <w:pStyle w:val="Compact"/>
              <w:jc w:val="left"/>
            </w:pPr>
            <w:r>
              <w:t xml:space="preserve">Actor Training Program – 5-day intensive training for 40 key users and 2-day training for 80 end-users, conducted in Portuguese at the buyer's facility in Rio de Janeiro, Brazil. Materials provided in both English and Brazilian Portuguese.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Actor Premium Technical Support – 24/7/365 support with 4-hour response SLA, dedicated account manager based in São Paulo, Brazil, and quarterly on-site health-check visits to the Rio de Janeiro office.</w:t>
            </w:r>
          </w:p>
        </w:tc>
        <w:tc>
          <w:tcPr/>
          <w:p>
            <w:pPr>
              <w:pStyle w:val="Compact"/>
              <w:jc w:val="left"/>
            </w:pPr>
            <w:r>
              <w:t xml:space="preserve">12 months</w:t>
            </w:r>
          </w:p>
        </w:tc>
        <w:tc>
          <w:tcPr/>
          <w:p>
            <w:pPr>
              <w:pStyle w:val="Compact"/>
              <w:jc w:val="left"/>
            </w:pPr>
            <w:r>
              <w:t xml:space="preserve">540,000.00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Actor Custom Module Development – Development of a custom Actor module for the buyer's logistics and supply-chain division, tailored to Brazilian regulatory requirements (ANVISA, INMETRO compliance tracking) and specific to operations in Rio de Janeiro, Brazil.</w:t>
            </w:r>
          </w:p>
        </w:tc>
        <w:tc>
          <w:tcPr/>
          <w:p>
            <w:pPr>
              <w:pStyle w:val="Compact"/>
              <w:jc w:val="left"/>
            </w:pPr>
            <w:r>
              <w:t xml:space="preserve">1</w:t>
            </w:r>
          </w:p>
        </w:tc>
        <w:tc>
          <w:tcPr/>
          <w:p>
            <w:pPr>
              <w:pStyle w:val="Compact"/>
              <w:jc w:val="left"/>
            </w:pPr>
            <w:r>
              <w:t xml:space="preserve">1,150,000.00</w:t>
            </w:r>
          </w:p>
        </w:tc>
        <w:tc>
          <w:tcPr/>
          <w:p>
            <w:pPr>
              <w:pStyle w:val="Compact"/>
              <w:jc w:val="left"/>
            </w:pPr>
            <w:r>
              <w:t xml:space="preserve">1,150,000.00</w:t>
            </w:r>
          </w:p>
        </w:tc>
      </w:tr>
      <w:tr>
        <w:tc>
          <w:tcPr/>
          <w:p>
            <w:pPr>
              <w:pStyle w:val="Compact"/>
              <w:jc w:val="left"/>
            </w:pPr>
            <w:r>
              <w:t xml:space="preserve">06</w:t>
            </w:r>
          </w:p>
        </w:tc>
        <w:tc>
          <w:tcPr/>
          <w:p>
            <w:pPr>
              <w:pStyle w:val="Compact"/>
              <w:jc w:val="left"/>
            </w:pPr>
            <w:r>
              <w:t xml:space="preserve">Actor Cloud Hosting – Dedicated cloud infrastructure in AWS São Paulo region (sa-east-1) to ensure data residency compliance with Brazil's General Data Protection Law (LGPD – Lei Geral de Proteção de Dados). Includes 99.9% uptime SLA.</w:t>
            </w:r>
          </w:p>
        </w:tc>
        <w:tc>
          <w:tcPr/>
          <w:p>
            <w:pPr>
              <w:pStyle w:val="Compact"/>
              <w:jc w:val="left"/>
            </w:pPr>
            <w:r>
              <w:t xml:space="preserve">12 months</w:t>
            </w:r>
          </w:p>
        </w:tc>
        <w:tc>
          <w:tcPr/>
          <w:p>
            <w:pPr>
              <w:pStyle w:val="Compact"/>
              <w:jc w:val="left"/>
            </w:pPr>
            <w:r>
              <w:t xml:space="preserve">360,000.00</w:t>
            </w:r>
          </w:p>
        </w:tc>
        <w:tc>
          <w:tcPr/>
          <w:p>
            <w:pPr>
              <w:pStyle w:val="Compact"/>
              <w:jc w:val="left"/>
            </w:pPr>
            <w:r>
              <w:t xml:space="preserve">360,000.00</w:t>
            </w:r>
          </w:p>
        </w:tc>
      </w:tr>
      <w:tr>
        <w:tc>
          <w:tcPr>
            <w:gridSpan w:val="4"/>
          </w:tcPr>
          <w:p>
            <w:pPr>
              <w:pStyle w:val="Compact"/>
              <w:jc w:val="left"/>
            </w:pPr>
            <w:r>
              <w:t xml:space="preserve">SUBTOTAL</w:t>
            </w:r>
          </w:p>
        </w:tc>
        <w:tc>
          <w:tcPr/>
          <w:p>
            <w:pPr>
              <w:pStyle w:val="Compact"/>
              <w:jc w:val="left"/>
            </w:pPr>
            <w:r>
              <w:t xml:space="preserve">8,010,000.00</w:t>
            </w:r>
          </w:p>
        </w:tc>
      </w:tr>
      <w:tr>
        <w:tc>
          <w:tcPr>
            <w:gridSpan w:val="4"/>
          </w:tcPr>
          <w:p>
            <w:pPr>
              <w:pStyle w:val="Compact"/>
              <w:jc w:val="left"/>
            </w:pPr>
            <w:r>
              <w:t xml:space="preserve">ICMS / Applicable Brazilian Taxes (estimated 18%)</w:t>
            </w:r>
          </w:p>
        </w:tc>
        <w:tc>
          <w:tcPr/>
          <w:p>
            <w:pPr>
              <w:pStyle w:val="Compact"/>
              <w:jc w:val="left"/>
            </w:pPr>
            <w:r>
              <w:t xml:space="preserve">1,441,800.00</w:t>
            </w:r>
          </w:p>
        </w:tc>
      </w:tr>
      <w:tr>
        <w:tc>
          <w:tcPr>
            <w:gridSpan w:val="4"/>
          </w:tcPr>
          <w:p>
            <w:pPr>
              <w:pStyle w:val="Compact"/>
              <w:jc w:val="left"/>
            </w:pPr>
            <w:r>
              <w:t xml:space="preserve">GRAND TOTAL (BRL)</w:t>
            </w:r>
          </w:p>
        </w:tc>
        <w:tc>
          <w:tcPr/>
          <w:p>
            <w:pPr>
              <w:pStyle w:val="Compact"/>
              <w:jc w:val="left"/>
            </w:pPr>
            <w:r>
              <w:t xml:space="preserve">9,451,800.00</w:t>
            </w:r>
          </w:p>
        </w:tc>
      </w:tr>
    </w:tbl>
    <w:bookmarkEnd w:id="22"/>
    <w:bookmarkStart w:id="23" w:name="delivery-and-deployment-schedule"/>
    <w:p>
      <w:pPr>
        <w:pStyle w:val="Heading2"/>
      </w:pPr>
      <w:r>
        <w:t xml:space="preserve">4. Delivery and Deployment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Contract Execution &amp; Kick-off</w:t>
            </w:r>
          </w:p>
        </w:tc>
        <w:tc>
          <w:tcPr/>
          <w:p>
            <w:pPr>
              <w:pStyle w:val="Compact"/>
              <w:jc w:val="left"/>
            </w:pPr>
            <w:r>
              <w:t xml:space="preserve">20 June 2025</w:t>
            </w:r>
          </w:p>
        </w:tc>
        <w:tc>
          <w:tcPr/>
          <w:p>
            <w:pPr>
              <w:pStyle w:val="Compact"/>
              <w:jc w:val="left"/>
            </w:pPr>
            <w:r>
              <w:t xml:space="preserve">Rio de Janeiro, RJ, Brazil</w:t>
            </w:r>
          </w:p>
        </w:tc>
      </w:tr>
      <w:tr>
        <w:tc>
          <w:tcPr/>
          <w:p>
            <w:pPr>
              <w:pStyle w:val="Compact"/>
              <w:jc w:val="left"/>
            </w:pPr>
            <w:r>
              <w:t xml:space="preserve">Actor Platform Installation &amp; Configuration</w:t>
            </w:r>
          </w:p>
        </w:tc>
        <w:tc>
          <w:tcPr/>
          <w:p>
            <w:pPr>
              <w:pStyle w:val="Compact"/>
              <w:jc w:val="left"/>
            </w:pPr>
            <w:r>
              <w:t xml:space="preserve">15 July 2025</w:t>
            </w:r>
          </w:p>
        </w:tc>
        <w:tc>
          <w:tcPr/>
          <w:p>
            <w:pPr>
              <w:pStyle w:val="Compact"/>
              <w:jc w:val="left"/>
            </w:pPr>
            <w:r>
              <w:t xml:space="preserve">Rio de Janeiro, RJ, Brazil</w:t>
            </w:r>
          </w:p>
        </w:tc>
      </w:tr>
      <w:tr>
        <w:tc>
          <w:tcPr/>
          <w:p>
            <w:pPr>
              <w:pStyle w:val="Compact"/>
              <w:jc w:val="left"/>
            </w:pPr>
            <w:r>
              <w:t xml:space="preserve">Data Migration &amp; Integration Testing</w:t>
            </w:r>
          </w:p>
        </w:tc>
        <w:tc>
          <w:tcPr/>
          <w:p>
            <w:pPr>
              <w:pStyle w:val="Compact"/>
              <w:jc w:val="left"/>
            </w:pPr>
            <w:r>
              <w:t xml:space="preserve">30 August 2025</w:t>
            </w:r>
          </w:p>
        </w:tc>
        <w:tc>
          <w:tcPr/>
          <w:p>
            <w:pPr>
              <w:pStyle w:val="Compact"/>
              <w:jc w:val="left"/>
            </w:pPr>
            <w:r>
              <w:t xml:space="preserve">Rio de Janeiro, RJ, Brazil</w:t>
            </w:r>
          </w:p>
        </w:tc>
      </w:tr>
      <w:tr>
        <w:tc>
          <w:tcPr/>
          <w:p>
            <w:pPr>
              <w:pStyle w:val="Compact"/>
              <w:jc w:val="left"/>
            </w:pPr>
            <w:r>
              <w:t xml:space="preserve">User Training (Portuguese)</w:t>
            </w:r>
          </w:p>
        </w:tc>
        <w:tc>
          <w:tcPr/>
          <w:p>
            <w:pPr>
              <w:pStyle w:val="Compact"/>
              <w:jc w:val="left"/>
            </w:pPr>
            <w:r>
              <w:t xml:space="preserve">15 September 2025</w:t>
            </w:r>
          </w:p>
        </w:tc>
        <w:tc>
          <w:tcPr/>
          <w:p>
            <w:pPr>
              <w:pStyle w:val="Compact"/>
              <w:jc w:val="left"/>
            </w:pPr>
            <w:r>
              <w:t xml:space="preserve">Rio de Janeiro, RJ, Brazil</w:t>
            </w:r>
          </w:p>
        </w:tc>
      </w:tr>
      <w:tr>
        <w:tc>
          <w:tcPr/>
          <w:p>
            <w:pPr>
              <w:pStyle w:val="Compact"/>
              <w:jc w:val="left"/>
            </w:pPr>
            <w:r>
              <w:t xml:space="preserve">Go-Live &amp; Hypercare Period</w:t>
            </w:r>
          </w:p>
        </w:tc>
        <w:tc>
          <w:tcPr/>
          <w:p>
            <w:pPr>
              <w:pStyle w:val="Compact"/>
              <w:jc w:val="left"/>
            </w:pPr>
            <w:r>
              <w:t xml:space="preserve">01 October 2025</w:t>
            </w:r>
          </w:p>
        </w:tc>
        <w:tc>
          <w:tcPr/>
          <w:p>
            <w:pPr>
              <w:pStyle w:val="Compact"/>
              <w:jc w:val="left"/>
            </w:pPr>
            <w:r>
              <w:t xml:space="preserve">Rio de Janeiro, RJ, Brazil</w:t>
            </w:r>
          </w:p>
        </w:tc>
      </w:tr>
      <w:tr>
        <w:tc>
          <w:tcPr/>
          <w:p>
            <w:pPr>
              <w:pStyle w:val="Compact"/>
              <w:jc w:val="left"/>
            </w:pPr>
            <w:r>
              <w:t xml:space="preserve">Project Closure &amp; Final Acceptance</w:t>
            </w:r>
          </w:p>
        </w:tc>
        <w:tc>
          <w:tcPr/>
          <w:p>
            <w:pPr>
              <w:pStyle w:val="Compact"/>
              <w:jc w:val="left"/>
            </w:pPr>
            <w:r>
              <w:t xml:space="preserve">30 October 2025</w:t>
            </w:r>
          </w:p>
        </w:tc>
        <w:tc>
          <w:tcPr/>
          <w:p>
            <w:pPr>
              <w:pStyle w:val="Compact"/>
              <w:jc w:val="left"/>
            </w:pPr>
            <w:r>
              <w:t xml:space="preserve">Rio de Janeiro, RJ, Brazil</w:t>
            </w:r>
          </w:p>
        </w:tc>
      </w:tr>
    </w:tbl>
    <w:bookmarkEnd w:id="23"/>
    <w:bookmarkStart w:id="24" w:name="payment-terms-and-conditions"/>
    <w:p>
      <w:pPr>
        <w:pStyle w:val="Heading2"/>
      </w:pPr>
      <w:r>
        <w:t xml:space="preserve">5. Payment Terms and Conditions</w:t>
      </w:r>
    </w:p>
    <w:p>
      <w:pPr>
        <w:pStyle w:val="FirstParagraph"/>
      </w:pPr>
      <w:r>
        <w:t xml:space="preserve">Payment for this Purchase Order shall be made in Brazilian Reais (BRL) via bank transfer to the seller's designated account. The payment schedule is as follows:</w:t>
      </w:r>
    </w:p>
    <w:p>
      <w:pPr>
        <w:numPr>
          <w:ilvl w:val="0"/>
          <w:numId w:val="1001"/>
        </w:numPr>
        <w:pStyle w:val="Compact"/>
      </w:pPr>
      <w:r>
        <w:rPr>
          <w:bCs/>
          <w:b/>
        </w:rPr>
        <w:t xml:space="preserve">30% advance payment</w:t>
      </w:r>
      <w:r>
        <w:t xml:space="preserve"> </w:t>
      </w:r>
      <w:r>
        <w:t xml:space="preserve">(R$ 2,835,540.00) due within 10 business days of Purchase Order acceptance, prior to commencement of Actor implementation in Rio de Janeiro.</w:t>
      </w:r>
    </w:p>
    <w:p>
      <w:pPr>
        <w:numPr>
          <w:ilvl w:val="0"/>
          <w:numId w:val="1001"/>
        </w:numPr>
        <w:pStyle w:val="Compact"/>
      </w:pPr>
      <w:r>
        <w:rPr>
          <w:bCs/>
          <w:b/>
        </w:rPr>
        <w:t xml:space="preserve">40% milestone payment</w:t>
      </w:r>
      <w:r>
        <w:t xml:space="preserve"> </w:t>
      </w:r>
      <w:r>
        <w:t xml:space="preserve">(R$ 3,780,720.00) due upon successful completion of Actor platform installation, data migration, and integration testing, as certified by the buyer's IT department in Rio de Janeiro.</w:t>
      </w:r>
    </w:p>
    <w:p>
      <w:pPr>
        <w:numPr>
          <w:ilvl w:val="0"/>
          <w:numId w:val="1001"/>
        </w:numPr>
        <w:pStyle w:val="Compact"/>
      </w:pPr>
      <w:r>
        <w:rPr>
          <w:bCs/>
          <w:b/>
        </w:rPr>
        <w:t xml:space="preserve">30% final payment</w:t>
      </w:r>
      <w:r>
        <w:t xml:space="preserve"> </w:t>
      </w:r>
      <w:r>
        <w:t xml:space="preserve">(R$ 2,835,540.00) due within 30 days of the Go-Live date and completion of the hypercare period.</w:t>
      </w:r>
    </w:p>
    <w:p>
      <w:pPr>
        <w:pStyle w:val="FirstParagraph"/>
      </w:pPr>
      <w:r>
        <w:t xml:space="preserve">All payments are subject to the terms of Brazilian commercial law (Código Civil Brasileiro, Lei 10.406/2002) and applicable foreign exchange regulations set forth by the Central Bank of Brazil (Banco Central do Brasil – BACEN). The seller shall provide all necessary documentation for the buyer to process the international remittance in compliance with BACEN foreign exchange rules.</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Federative Republic of Brazil. Any disputes arising from this Purchase Order shall be resolved by arbitration in the city of Rio de Janeiro, RJ, Brazil, in accordance with the rules of the CAMARB (Câmara de Arbitragem do Mercado).</w:t>
      </w:r>
    </w:p>
    <w:p>
      <w:pPr>
        <w:numPr>
          <w:ilvl w:val="0"/>
          <w:numId w:val="1002"/>
        </w:numPr>
        <w:pStyle w:val="Compact"/>
      </w:pPr>
      <w:r>
        <w:t xml:space="preserve">The Actor platform and all associated intellectual property remain the exclusive property of Actor Technologies International Ltd. The buyer is granted a non-exclusive, non-transferable license to use the Actor software within its facilities in Rio de Janeiro, Brazil, for the duration of the subscription term.</w:t>
      </w:r>
    </w:p>
    <w:p>
      <w:pPr>
        <w:numPr>
          <w:ilvl w:val="0"/>
          <w:numId w:val="1002"/>
        </w:numPr>
        <w:pStyle w:val="Compact"/>
      </w:pPr>
      <w:r>
        <w:t xml:space="preserve">The seller warrants that the Actor platform shall be free from material defects and shall perform in accordance with the specifications outlined in the attached technical annex. The warranty period is 12 months from the Go-Live date.</w:t>
      </w:r>
    </w:p>
    <w:p>
      <w:pPr>
        <w:numPr>
          <w:ilvl w:val="0"/>
          <w:numId w:val="1002"/>
        </w:numPr>
        <w:pStyle w:val="Compact"/>
      </w:pPr>
      <w:r>
        <w:t xml:space="preserve">All personal data processed through the Actor platform in Brazil shall be handled in strict compliance with the Brazilian General Data Protection Law (LGPD – Lei nº 13.709/2018). The seller shall execute a Data Processing Agreement (DPA) prior to any data transfer.</w:t>
      </w:r>
    </w:p>
    <w:p>
      <w:pPr>
        <w:numPr>
          <w:ilvl w:val="0"/>
          <w:numId w:val="1002"/>
        </w:numPr>
        <w:pStyle w:val="Compact"/>
      </w:pPr>
      <w:r>
        <w:t xml:space="preserve">The seller shall maintain a local support presence in Brazil, with a designated technical support team accessible in Portuguese, to ensure timely resolution of any issues affecting the Actor platform deployment in Rio de Janeiro.</w:t>
      </w:r>
    </w:p>
    <w:p>
      <w:pPr>
        <w:numPr>
          <w:ilvl w:val="0"/>
          <w:numId w:val="1002"/>
        </w:numPr>
        <w:pStyle w:val="Compact"/>
      </w:pPr>
      <w:r>
        <w:t xml:space="preserve">Force majeure events, including but not limited to natural disasters, government sanctions, or disruptions in telecommunications infrastructure affecting Rio de Janeiro, Brazil, shall excuse delayed performance for the duration of such event, provided written notice is given within 5 business days.</w:t>
      </w:r>
    </w:p>
    <w:p>
      <w:pPr>
        <w:numPr>
          <w:ilvl w:val="0"/>
          <w:numId w:val="1002"/>
        </w:numPr>
        <w:pStyle w:val="Compact"/>
      </w:pPr>
      <w:r>
        <w:t xml:space="preserve">This Purchase Order becomes effective upon written acceptance by both parties. No modification to this Purchase Order shall be valid unless made in writing and signed by authorized representatives of both parties.</w:t>
      </w:r>
    </w:p>
    <w:p>
      <w:pPr>
        <w:pStyle w:val="FirstParagraph"/>
      </w:pPr>
      <w:r>
        <w:rPr>
          <w:bCs/>
          <w:b/>
        </w:rPr>
        <w:t xml:space="preserve">IMPORTANT NOTE:</w:t>
      </w:r>
      <w:r>
        <w:t xml:space="preserve"> </w:t>
      </w:r>
      <w:r>
        <w:t xml:space="preserve">This Purchase Order is issued for the procurement and deployment of the Actor enterprise platform exclusively for use at the buyer's premises in Rio de Janeiro, Rio de Janeiro, Brazil. All deliverables, training materials, and support services referenced herein are to be provided in a manner compliant with Brazilian labor, tax, and data protection regulations. The buyer reserves the right to audit the Actor implementation at its Rio de Janeiro facility upon 48 hours' written notice.</w:t>
      </w:r>
    </w:p>
    <w:bookmarkEnd w:id="25"/>
    <w:bookmarkStart w:id="26"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each party acknowledges and agrees to all terms, conditions, and specifications set forth in this Purchase Order for the procurement of the Actor platform in Rio de Janeiro, Brazil.</w:t>
      </w:r>
    </w:p>
    <w:p>
      <w:pPr>
        <w:pStyle w:val="BodyText"/>
      </w:pPr>
      <w:r>
        <w:rPr>
          <w:bCs/>
          <w:b/>
        </w:rPr>
        <w:t xml:space="preserve">For the Buyer:</w:t>
      </w:r>
      <w:r>
        <w:br/>
      </w:r>
      <w:r>
        <w:t xml:space="preserve">Grupo Horizonte Digital S.A.</w:t>
      </w:r>
      <w:r>
        <w:br/>
      </w:r>
      <w:r>
        <w:br/>
      </w:r>
      <w:r>
        <w:t xml:space="preserve">_______________________________</w:t>
      </w:r>
      <w:r>
        <w:br/>
      </w:r>
      <w:r>
        <w:t xml:space="preserve">Mariana Costa Ferreira</w:t>
      </w:r>
      <w:r>
        <w:br/>
      </w:r>
      <w:r>
        <w:t xml:space="preserve">Procurement Manager</w:t>
      </w:r>
      <w:r>
        <w:br/>
      </w:r>
      <w:r>
        <w:t xml:space="preserve">CNPJ: 12.345.678/0001-90</w:t>
      </w:r>
      <w:r>
        <w:br/>
      </w:r>
      <w:r>
        <w:t xml:space="preserve">Rio de Janeiro, RJ, Brazil</w:t>
      </w:r>
      <w:r>
        <w:br/>
      </w:r>
      <w:r>
        <w:t xml:space="preserve">Date: _______________</w:t>
      </w:r>
    </w:p>
    <w:p>
      <w:pPr>
        <w:pStyle w:val="BodyText"/>
      </w:pPr>
      <w:r>
        <w:rPr>
          <w:bCs/>
          <w:b/>
        </w:rPr>
        <w:t xml:space="preserve">For the Seller:</w:t>
      </w:r>
      <w:r>
        <w:br/>
      </w:r>
      <w:r>
        <w:t xml:space="preserve">Actor Technologies International Ltd.</w:t>
      </w:r>
      <w:r>
        <w:br/>
      </w:r>
      <w:r>
        <w:br/>
      </w:r>
      <w:r>
        <w:t xml:space="preserve">_______________________________</w:t>
      </w:r>
      <w:r>
        <w:br/>
      </w:r>
      <w:r>
        <w:t xml:space="preserve">James Whitfield</w:t>
      </w:r>
      <w:r>
        <w:br/>
      </w:r>
      <w:r>
        <w:t xml:space="preserve">Regional Sales Director, Latin America</w:t>
      </w:r>
      <w:r>
        <w:br/>
      </w:r>
      <w:r>
        <w:t xml:space="preserve">Registration: UK-GB-99887766</w:t>
      </w:r>
      <w:r>
        <w:br/>
      </w:r>
      <w:r>
        <w:t xml:space="preserve">Cambridge, United Kingdom</w:t>
      </w:r>
      <w:r>
        <w:br/>
      </w:r>
      <w:r>
        <w:t xml:space="preserve">Date: _______________</w:t>
      </w:r>
    </w:p>
    <w:p>
      <w:pPr>
        <w:pStyle w:val="BodyText"/>
      </w:pPr>
      <w:r>
        <w:t xml:space="preserve">This Purchase Order (PO-BR-RJ-2025-04872) was generated for the procurement of the Actor platform for deployment in Rio de Janeiro, Brazil. Document reference: GHD-PROC-2025-04872. For questions regarding this Purchase Order, contact the Procurement Department at Grupo Horizonte Digital S.A., Avenida Rio Branco, 1200, Centro, Rio de Janeiro, RJ, 20090-000,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Rio de Janeiro, Brazil</dc:title>
  <dc:creator/>
  <dc:language>en</dc:language>
  <cp:keywords/>
  <dcterms:created xsi:type="dcterms:W3CDTF">2026-10-10T02:37:16Z</dcterms:created>
  <dcterms:modified xsi:type="dcterms:W3CDTF">2026-10-10T02:37:16Z</dcterms:modified>
</cp:coreProperties>
</file>

<file path=docProps/custom.xml><?xml version="1.0" encoding="utf-8"?>
<Properties xmlns="http://schemas.openxmlformats.org/officeDocument/2006/custom-properties" xmlns:vt="http://schemas.openxmlformats.org/officeDocument/2006/docPropsVTypes"/>
</file>