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System</w:t>
      </w:r>
      <w:r>
        <w:t xml:space="preserve"> </w:t>
      </w:r>
      <w:r>
        <w:t xml:space="preserve">-</w:t>
      </w:r>
      <w:r>
        <w:t xml:space="preserve"> </w:t>
      </w:r>
      <w:r>
        <w:t xml:space="preserve">Russia</w:t>
      </w:r>
      <w:r>
        <w:t xml:space="preserve"> </w:t>
      </w:r>
      <w:r>
        <w:t xml:space="preserve">Saint</w:t>
      </w:r>
      <w:r>
        <w:t xml:space="preserve"> </w:t>
      </w:r>
      <w:r>
        <w:t xml:space="preserve">Petersburg</w:t>
      </w:r>
    </w:p>
    <w:bookmarkStart w:id="31" w:name="purchase-order"/>
    <w:p>
      <w:pPr>
        <w:pStyle w:val="Heading1"/>
      </w:pPr>
      <w:r>
        <w:t xml:space="preserve">PURCHASE ORDER</w:t>
      </w:r>
    </w:p>
    <w:p>
      <w:pPr>
        <w:pStyle w:val="FirstParagraph"/>
      </w:pPr>
      <w:r>
        <w:rPr>
          <w:bCs/>
          <w:b/>
        </w:rPr>
        <w:t xml:space="preserve">Purchase Order No.:</w:t>
      </w:r>
      <w:r>
        <w:t xml:space="preserve"> </w:t>
      </w:r>
      <w:r>
        <w:t xml:space="preserve">PO-RSP-2025-04782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Page:</w:t>
      </w:r>
      <w:r>
        <w:t xml:space="preserve"> </w:t>
      </w:r>
      <w:r>
        <w:t xml:space="preserve">1 of 1</w:t>
      </w:r>
      <w:r>
        <w:br/>
      </w:r>
      <w:r>
        <w:rPr>
          <w:bCs/>
          <w:b/>
        </w:rPr>
        <w:t xml:space="preserve">Classification:</w:t>
      </w:r>
      <w:r>
        <w:t xml:space="preserve"> </w:t>
      </w:r>
      <w:r>
        <w:t xml:space="preserve">Commercial / Professional</w:t>
      </w:r>
      <w:r>
        <w:br/>
      </w:r>
      <w:r>
        <w:rPr>
          <w:bCs/>
          <w:b/>
        </w:rPr>
        <w:t xml:space="preserve">Currency:</w:t>
      </w:r>
      <w:r>
        <w:t xml:space="preserve"> </w:t>
      </w:r>
      <w:r>
        <w:t xml:space="preserve">Russian Ruble (RUB)</w:t>
      </w:r>
    </w:p>
    <w:bookmarkStart w:id="20" w:name="buyer-information"/>
    <w:p>
      <w:pPr>
        <w:pStyle w:val="Heading2"/>
      </w:pPr>
      <w:r>
        <w:t xml:space="preserve">1. Buyer Information</w:t>
      </w:r>
    </w:p>
    <w:p>
      <w:pPr>
        <w:pStyle w:val="FirstParagraph"/>
      </w:pPr>
      <w:r>
        <w:rPr>
          <w:bCs/>
          <w:b/>
        </w:rPr>
        <w:t xml:space="preserve">Company Name:</w:t>
      </w:r>
      <w:r>
        <w:t xml:space="preserve"> </w:t>
      </w:r>
      <w:r>
        <w:t xml:space="preserve">Northern Lights Performing Arts Group LLC</w:t>
      </w:r>
      <w:r>
        <w:br/>
      </w:r>
      <w:r>
        <w:rPr>
          <w:bCs/>
          <w:b/>
        </w:rPr>
        <w:t xml:space="preserve">Address:</w:t>
      </w:r>
      <w:r>
        <w:t xml:space="preserve"> </w:t>
      </w:r>
      <w:r>
        <w:t xml:space="preserve">12 Fontanka Embankment, Building 4, Saint Petersburg, 191025, Russia</w:t>
      </w:r>
      <w:r>
        <w:br/>
      </w:r>
      <w:r>
        <w:rPr>
          <w:bCs/>
          <w:b/>
        </w:rPr>
        <w:t xml:space="preserve">Registration No.:</w:t>
      </w:r>
      <w:r>
        <w:t xml:space="preserve"> </w:t>
      </w:r>
      <w:r>
        <w:t xml:space="preserve">1187847023456</w:t>
      </w:r>
      <w:r>
        <w:br/>
      </w:r>
      <w:r>
        <w:rPr>
          <w:bCs/>
          <w:b/>
        </w:rPr>
        <w:t xml:space="preserve">VAT Identification Number (INN):</w:t>
      </w:r>
      <w:r>
        <w:t xml:space="preserve"> </w:t>
      </w:r>
      <w:r>
        <w:t xml:space="preserve">7805432198</w:t>
      </w:r>
      <w:r>
        <w:br/>
      </w:r>
      <w:r>
        <w:rPr>
          <w:bCs/>
          <w:b/>
        </w:rPr>
        <w:t xml:space="preserve">Contact Person:</w:t>
      </w:r>
      <w:r>
        <w:t xml:space="preserve"> </w:t>
      </w:r>
      <w:r>
        <w:t xml:space="preserve">Elena V. Sokolova, Procurement Director</w:t>
      </w:r>
      <w:r>
        <w:br/>
      </w:r>
      <w:r>
        <w:rPr>
          <w:bCs/>
          <w:b/>
        </w:rPr>
        <w:t xml:space="preserve">Telephone:</w:t>
      </w:r>
      <w:r>
        <w:t xml:space="preserve"> </w:t>
      </w:r>
      <w:r>
        <w:t xml:space="preserve">+7 (812) 313-45-67</w:t>
      </w:r>
      <w:r>
        <w:br/>
      </w:r>
      <w:r>
        <w:rPr>
          <w:bCs/>
          <w:b/>
        </w:rPr>
        <w:t xml:space="preserve">Email:</w:t>
      </w:r>
      <w:r>
        <w:t xml:space="preserve"> </w:t>
      </w:r>
      <w:r>
        <w:t xml:space="preserve">procurement@nlpa-spb.ru</w:t>
      </w:r>
    </w:p>
    <w:bookmarkEnd w:id="20"/>
    <w:bookmarkStart w:id="21" w:name="seller-supplier-information"/>
    <w:p>
      <w:pPr>
        <w:pStyle w:val="Heading2"/>
      </w:pPr>
      <w:r>
        <w:t xml:space="preserve">2. Seller / Supplier Information</w:t>
      </w:r>
    </w:p>
    <w:p>
      <w:pPr>
        <w:pStyle w:val="FirstParagraph"/>
      </w:pPr>
      <w:r>
        <w:rPr>
          <w:bCs/>
          <w:b/>
        </w:rPr>
        <w:t xml:space="preserve">Company Name:</w:t>
      </w:r>
      <w:r>
        <w:t xml:space="preserve"> </w:t>
      </w:r>
      <w:r>
        <w:t xml:space="preserve">Actor Technologies International GmbH</w:t>
      </w:r>
      <w:r>
        <w:br/>
      </w:r>
      <w:r>
        <w:rPr>
          <w:bCs/>
          <w:b/>
        </w:rPr>
        <w:t xml:space="preserve">Address:</w:t>
      </w:r>
      <w:r>
        <w:t xml:space="preserve"> </w:t>
      </w:r>
      <w:r>
        <w:t xml:space="preserve">Industriestraße 42, 80331 Munich, Germany</w:t>
      </w:r>
      <w:r>
        <w:br/>
      </w:r>
      <w:r>
        <w:rPr>
          <w:bCs/>
          <w:b/>
        </w:rPr>
        <w:t xml:space="preserve">Registration No.:</w:t>
      </w:r>
      <w:r>
        <w:t xml:space="preserve"> </w:t>
      </w:r>
      <w:r>
        <w:t xml:space="preserve">HRB 987654</w:t>
      </w:r>
      <w:r>
        <w:br/>
      </w:r>
      <w:r>
        <w:rPr>
          <w:bCs/>
          <w:b/>
        </w:rPr>
        <w:t xml:space="preserve">VAT ID:</w:t>
      </w:r>
      <w:r>
        <w:t xml:space="preserve"> </w:t>
      </w:r>
      <w:r>
        <w:t xml:space="preserve">DE123456789</w:t>
      </w:r>
      <w:r>
        <w:br/>
      </w:r>
      <w:r>
        <w:rPr>
          <w:bCs/>
          <w:b/>
        </w:rPr>
        <w:t xml:space="preserve">Contact Person:</w:t>
      </w:r>
      <w:r>
        <w:t xml:space="preserve"> </w:t>
      </w:r>
      <w:r>
        <w:t xml:space="preserve">Dr. Markus Weber, Export Sales Manager</w:t>
      </w:r>
      <w:r>
        <w:br/>
      </w:r>
      <w:r>
        <w:rPr>
          <w:bCs/>
          <w:b/>
        </w:rPr>
        <w:t xml:space="preserve">Telephone:</w:t>
      </w:r>
      <w:r>
        <w:t xml:space="preserve"> </w:t>
      </w:r>
      <w:r>
        <w:t xml:space="preserve">+49 89 5556 7788</w:t>
      </w:r>
      <w:r>
        <w:br/>
      </w:r>
      <w:r>
        <w:rPr>
          <w:bCs/>
          <w:b/>
        </w:rPr>
        <w:t xml:space="preserve">Email:</w:t>
      </w:r>
      <w:r>
        <w:t xml:space="preserve"> </w:t>
      </w:r>
      <w:r>
        <w:t xml:space="preserve">export@actor-technologies.de</w:t>
      </w:r>
    </w:p>
    <w:bookmarkEnd w:id="21"/>
    <w:bookmarkStart w:id="22" w:name="Xf14879f7f3543761398ac3e07ae48b3072e4779"/>
    <w:p>
      <w:pPr>
        <w:pStyle w:val="Heading2"/>
      </w:pPr>
      <w:r>
        <w:t xml:space="preserve">3. Description of Goods / Services – Actor System</w:t>
      </w:r>
    </w:p>
    <w:p>
      <w:pPr>
        <w:pStyle w:val="FirstParagraph"/>
      </w:pPr>
      <w:r>
        <w:t xml:space="preserve">This Purchase Order is issued by Northern Lights Performing Arts Group LLC, a professional theatrical and performing arts organization headquartered in Saint Petersburg, Russia, for the acquisition of the</w:t>
      </w:r>
      <w:r>
        <w:t xml:space="preserve"> </w:t>
      </w:r>
      <w:r>
        <w:rPr>
          <w:bCs/>
          <w:b/>
        </w:rPr>
        <w:t xml:space="preserve">Actor</w:t>
      </w:r>
      <w:r>
        <w:t xml:space="preserve"> </w:t>
      </w:r>
      <w:r>
        <w:t xml:space="preserve">Professional Stage Production and Performance Management System. The</w:t>
      </w:r>
      <w:r>
        <w:t xml:space="preserve"> </w:t>
      </w:r>
      <w:r>
        <w:rPr>
          <w:bCs/>
          <w:b/>
        </w:rPr>
        <w:t xml:space="preserve">Actor</w:t>
      </w:r>
      <w:r>
        <w:t xml:space="preserve"> </w:t>
      </w:r>
      <w:r>
        <w:t xml:space="preserve">system is a comprehensive integrated platform designed for the management, orchestration, and execution of live theatrical performances, including automated lighting control, sound engineering integration, stage automation, and real-time performance analytics. The</w:t>
      </w:r>
      <w:r>
        <w:t xml:space="preserve"> </w:t>
      </w:r>
      <w:r>
        <w:rPr>
          <w:bCs/>
          <w:b/>
        </w:rPr>
        <w:t xml:space="preserve">Actor</w:t>
      </w:r>
      <w:r>
        <w:t xml:space="preserve"> </w:t>
      </w:r>
      <w:r>
        <w:t xml:space="preserve">system will be deployed at the buyer's primary venue located at 12 Fontanka Embankment, Saint Petersburg, Russia, and will serve as the central technological backbone for all productions staged at this location.</w:t>
      </w:r>
    </w:p>
    <w:bookmarkEnd w:id="22"/>
    <w:bookmarkStart w:id="23" w:name="itemized-order-details"/>
    <w:p>
      <w:pPr>
        <w:pStyle w:val="Heading2"/>
      </w:pPr>
      <w:r>
        <w:t xml:space="preserve">4. Itemized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Actor Core Processing Unit – Main Stage Controller (Model ACT-7500X), including all proprietary software licenses for the Actor performance management platform, perpetual license for up to 200 concurrent performance channels</w:t>
            </w:r>
          </w:p>
        </w:tc>
        <w:tc>
          <w:tcPr/>
          <w:p>
            <w:pPr>
              <w:pStyle w:val="Compact"/>
              <w:jc w:val="left"/>
            </w:pPr>
            <w:r>
              <w:t xml:space="preserve">1</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02</w:t>
            </w:r>
          </w:p>
        </w:tc>
        <w:tc>
          <w:tcPr/>
          <w:p>
            <w:pPr>
              <w:pStyle w:val="Compact"/>
              <w:jc w:val="left"/>
            </w:pPr>
            <w:r>
              <w:t xml:space="preserve">Actor Stage Automation Interface Modules (Model ACT-SA-120), compatible with all major stage machinery manufacturers, including fly systems, turntables, and hydraulic lifts</w:t>
            </w:r>
          </w:p>
        </w:tc>
        <w:tc>
          <w:tcPr/>
          <w:p>
            <w:pPr>
              <w:pStyle w:val="Compact"/>
              <w:jc w:val="left"/>
            </w:pPr>
            <w:r>
              <w:t xml:space="preserve">6</w:t>
            </w:r>
          </w:p>
        </w:tc>
        <w:tc>
          <w:tcPr/>
          <w:p>
            <w:pPr>
              <w:pStyle w:val="Compact"/>
              <w:jc w:val="left"/>
            </w:pPr>
            <w:r>
              <w:t xml:space="preserve">320,000.00</w:t>
            </w:r>
          </w:p>
        </w:tc>
        <w:tc>
          <w:tcPr/>
          <w:p>
            <w:pPr>
              <w:pStyle w:val="Compact"/>
              <w:jc w:val="left"/>
            </w:pPr>
            <w:r>
              <w:t xml:space="preserve">1,920,000.00</w:t>
            </w:r>
          </w:p>
        </w:tc>
      </w:tr>
      <w:tr>
        <w:tc>
          <w:tcPr/>
          <w:p>
            <w:pPr>
              <w:pStyle w:val="Compact"/>
              <w:jc w:val="left"/>
            </w:pPr>
            <w:r>
              <w:t xml:space="preserve">03</w:t>
            </w:r>
          </w:p>
        </w:tc>
        <w:tc>
          <w:tcPr/>
          <w:p>
            <w:pPr>
              <w:pStyle w:val="Compact"/>
              <w:jc w:val="left"/>
            </w:pPr>
            <w:r>
              <w:t xml:space="preserve">Actor Integrated Lighting Control Console (Model ACT-LC-900), 512-channel DMX/sACN output, with Actor proprietary scene management and cue stacking software</w:t>
            </w:r>
          </w:p>
        </w:tc>
        <w:tc>
          <w:tcPr/>
          <w:p>
            <w:pPr>
              <w:pStyle w:val="Compact"/>
              <w:jc w:val="left"/>
            </w:pPr>
            <w:r>
              <w:t xml:space="preserve">2</w:t>
            </w:r>
          </w:p>
        </w:tc>
        <w:tc>
          <w:tcPr/>
          <w:p>
            <w:pPr>
              <w:pStyle w:val="Compact"/>
              <w:jc w:val="left"/>
            </w:pPr>
            <w:r>
              <w:t xml:space="preserve">1,250,000.00</w:t>
            </w:r>
          </w:p>
        </w:tc>
        <w:tc>
          <w:tcPr/>
          <w:p>
            <w:pPr>
              <w:pStyle w:val="Compact"/>
              <w:jc w:val="left"/>
            </w:pPr>
            <w:r>
              <w:t xml:space="preserve">2,500,000.00</w:t>
            </w:r>
          </w:p>
        </w:tc>
      </w:tr>
      <w:tr>
        <w:tc>
          <w:tcPr/>
          <w:p>
            <w:pPr>
              <w:pStyle w:val="Compact"/>
              <w:jc w:val="left"/>
            </w:pPr>
            <w:r>
              <w:t xml:space="preserve">04</w:t>
            </w:r>
          </w:p>
        </w:tc>
        <w:tc>
          <w:tcPr/>
          <w:p>
            <w:pPr>
              <w:pStyle w:val="Compact"/>
              <w:jc w:val="left"/>
            </w:pPr>
            <w:r>
              <w:t xml:space="preserve">Actor Sound Engineering Integration Module (Model ACT-SE-450), 96-channel digital audio interface with Actor real-time mixing and spatial audio processing capabilities</w:t>
            </w:r>
          </w:p>
        </w:tc>
        <w:tc>
          <w:tcPr/>
          <w:p>
            <w:pPr>
              <w:pStyle w:val="Compact"/>
              <w:jc w:val="left"/>
            </w:pPr>
            <w:r>
              <w:t xml:space="preserve">2</w:t>
            </w:r>
          </w:p>
        </w:tc>
        <w:tc>
          <w:tcPr/>
          <w:p>
            <w:pPr>
              <w:pStyle w:val="Compact"/>
              <w:jc w:val="left"/>
            </w:pPr>
            <w:r>
              <w:t xml:space="preserve">890,000.00</w:t>
            </w:r>
          </w:p>
        </w:tc>
        <w:tc>
          <w:tcPr/>
          <w:p>
            <w:pPr>
              <w:pStyle w:val="Compact"/>
              <w:jc w:val="left"/>
            </w:pPr>
            <w:r>
              <w:t xml:space="preserve">1,780,000.00</w:t>
            </w:r>
          </w:p>
        </w:tc>
      </w:tr>
      <w:tr>
        <w:tc>
          <w:tcPr/>
          <w:p>
            <w:pPr>
              <w:pStyle w:val="Compact"/>
              <w:jc w:val="left"/>
            </w:pPr>
            <w:r>
              <w:t xml:space="preserve">05</w:t>
            </w:r>
          </w:p>
        </w:tc>
        <w:tc>
          <w:tcPr/>
          <w:p>
            <w:pPr>
              <w:pStyle w:val="Compact"/>
              <w:jc w:val="left"/>
            </w:pPr>
            <w:r>
              <w:t xml:space="preserve">Actor Performance Analytics and Monitoring Dashboard (Model ACT-PA-200), including hardware sensors, data acquisition units, and the Actor analytics software suite for post-performance review</w:t>
            </w:r>
          </w:p>
        </w:tc>
        <w:tc>
          <w:tcPr/>
          <w:p>
            <w:pPr>
              <w:pStyle w:val="Compact"/>
              <w:jc w:val="left"/>
            </w:pPr>
            <w:r>
              <w:t xml:space="preserve">1</w:t>
            </w:r>
          </w:p>
        </w:tc>
        <w:tc>
          <w:tcPr/>
          <w:p>
            <w:pPr>
              <w:pStyle w:val="Compact"/>
              <w:jc w:val="left"/>
            </w:pPr>
            <w:r>
              <w:t xml:space="preserve">675,000.00</w:t>
            </w:r>
          </w:p>
        </w:tc>
        <w:tc>
          <w:tcPr/>
          <w:p>
            <w:pPr>
              <w:pStyle w:val="Compact"/>
              <w:jc w:val="left"/>
            </w:pPr>
            <w:r>
              <w:t xml:space="preserve">675,000.00</w:t>
            </w:r>
          </w:p>
        </w:tc>
      </w:tr>
      <w:tr>
        <w:tc>
          <w:tcPr/>
          <w:p>
            <w:pPr>
              <w:pStyle w:val="Compact"/>
              <w:jc w:val="left"/>
            </w:pPr>
            <w:r>
              <w:t xml:space="preserve">06</w:t>
            </w:r>
          </w:p>
        </w:tc>
        <w:tc>
          <w:tcPr/>
          <w:p>
            <w:pPr>
              <w:pStyle w:val="Compact"/>
              <w:jc w:val="left"/>
            </w:pPr>
            <w:r>
              <w:t xml:space="preserve">Actor Operator Training and Commissioning Services – On-site installation, system calibration, and 5-day operator training program for 12 technical staff members at the Saint Petersburg venue</w:t>
            </w:r>
          </w:p>
        </w:tc>
        <w:tc>
          <w:tcPr/>
          <w:p>
            <w:pPr>
              <w:pStyle w:val="Compact"/>
              <w:jc w:val="left"/>
            </w:pPr>
            <w:r>
              <w:t xml:space="preserve">1</w:t>
            </w:r>
          </w:p>
        </w:tc>
        <w:tc>
          <w:tcPr/>
          <w:p>
            <w:pPr>
              <w:pStyle w:val="Compact"/>
              <w:jc w:val="left"/>
            </w:pPr>
            <w:r>
              <w:t xml:space="preserve">1,450,000.00</w:t>
            </w:r>
          </w:p>
        </w:tc>
        <w:tc>
          <w:tcPr/>
          <w:p>
            <w:pPr>
              <w:pStyle w:val="Compact"/>
              <w:jc w:val="left"/>
            </w:pPr>
            <w:r>
              <w:t xml:space="preserve">1,450,000.00</w:t>
            </w:r>
          </w:p>
        </w:tc>
      </w:tr>
      <w:tr>
        <w:tc>
          <w:tcPr/>
          <w:p>
            <w:pPr>
              <w:pStyle w:val="Compact"/>
              <w:jc w:val="left"/>
            </w:pPr>
            <w:r>
              <w:t xml:space="preserve">07</w:t>
            </w:r>
          </w:p>
        </w:tc>
        <w:tc>
          <w:tcPr/>
          <w:p>
            <w:pPr>
              <w:pStyle w:val="Compact"/>
              <w:jc w:val="left"/>
            </w:pPr>
            <w:r>
              <w:t xml:space="preserve">Actor Extended Warranty and Technical Support Package – 3-year comprehensive coverage including remote diagnostics, priority on-site service response within 48 hours, and annual software updates for the Actor platform</w:t>
            </w:r>
          </w:p>
        </w:tc>
        <w:tc>
          <w:tcPr/>
          <w:p>
            <w:pPr>
              <w:pStyle w:val="Compact"/>
              <w:jc w:val="left"/>
            </w:pPr>
            <w:r>
              <w:t xml:space="preserve">1</w:t>
            </w:r>
          </w:p>
        </w:tc>
        <w:tc>
          <w:tcPr/>
          <w:p>
            <w:pPr>
              <w:pStyle w:val="Compact"/>
              <w:jc w:val="left"/>
            </w:pPr>
            <w:r>
              <w:t xml:space="preserve">980,000.00</w:t>
            </w:r>
          </w:p>
        </w:tc>
        <w:tc>
          <w:tcPr/>
          <w:p>
            <w:pPr>
              <w:pStyle w:val="Compact"/>
              <w:jc w:val="left"/>
            </w:pPr>
            <w:r>
              <w:t xml:space="preserve">980,000.00</w:t>
            </w:r>
          </w:p>
        </w:tc>
      </w:tr>
      <w:tr>
        <w:tc>
          <w:tcPr/>
          <w:p>
            <w:pPr>
              <w:pStyle w:val="Compact"/>
              <w:jc w:val="left"/>
            </w:pPr>
            <w:r>
              <w:t xml:space="preserve">08</w:t>
            </w:r>
          </w:p>
        </w:tc>
        <w:tc>
          <w:tcPr/>
          <w:p>
            <w:pPr>
              <w:pStyle w:val="Compact"/>
              <w:jc w:val="left"/>
            </w:pPr>
            <w:r>
              <w:t xml:space="preserve">Actor Spare Parts and Consumables Kit – Pre-positioned inventory of critical replacement components for the Actor system, including processor boards, interface connectors, sensor arrays, and control surface membranes</w:t>
            </w:r>
          </w:p>
        </w:tc>
        <w:tc>
          <w:tcPr/>
          <w:p>
            <w:pPr>
              <w:pStyle w:val="Compact"/>
              <w:jc w:val="left"/>
            </w:pPr>
            <w:r>
              <w:t xml:space="preserve">1</w:t>
            </w:r>
          </w:p>
        </w:tc>
        <w:tc>
          <w:tcPr/>
          <w:p>
            <w:pPr>
              <w:pStyle w:val="Compact"/>
              <w:jc w:val="left"/>
            </w:pPr>
            <w:r>
              <w:t xml:space="preserve">425,000.00</w:t>
            </w:r>
          </w:p>
        </w:tc>
        <w:tc>
          <w:tcPr/>
          <w:p>
            <w:pPr>
              <w:pStyle w:val="Compact"/>
              <w:jc w:val="left"/>
            </w:pPr>
            <w:r>
              <w:t xml:space="preserve">425,000.00</w:t>
            </w:r>
          </w:p>
        </w:tc>
      </w:tr>
      <w:tr>
        <w:tc>
          <w:tcPr>
            <w:gridSpan w:val="4"/>
          </w:tcPr>
          <w:p>
            <w:pPr>
              <w:pStyle w:val="Compact"/>
              <w:jc w:val="left"/>
            </w:pPr>
            <w:r>
              <w:t xml:space="preserve">SUBTOTAL</w:t>
            </w:r>
          </w:p>
        </w:tc>
        <w:tc>
          <w:tcPr/>
          <w:p>
            <w:pPr>
              <w:pStyle w:val="Compact"/>
              <w:jc w:val="left"/>
            </w:pPr>
            <w:r>
              <w:t xml:space="preserve">14,580,000.00</w:t>
            </w:r>
          </w:p>
        </w:tc>
      </w:tr>
      <w:tr>
        <w:tc>
          <w:tcPr>
            <w:gridSpan w:val="4"/>
          </w:tcPr>
          <w:p>
            <w:pPr>
              <w:pStyle w:val="Compact"/>
              <w:jc w:val="left"/>
            </w:pPr>
            <w:r>
              <w:t xml:space="preserve">VAT (20% – Russian Federation)</w:t>
            </w:r>
          </w:p>
        </w:tc>
        <w:tc>
          <w:tcPr/>
          <w:p>
            <w:pPr>
              <w:pStyle w:val="Compact"/>
              <w:jc w:val="left"/>
            </w:pPr>
            <w:r>
              <w:t xml:space="preserve">2,916,000.00</w:t>
            </w:r>
          </w:p>
        </w:tc>
      </w:tr>
      <w:tr>
        <w:tc>
          <w:tcPr>
            <w:gridSpan w:val="4"/>
          </w:tcPr>
          <w:p>
            <w:pPr>
              <w:pStyle w:val="Compact"/>
              <w:jc w:val="left"/>
            </w:pPr>
            <w:r>
              <w:t xml:space="preserve">International Shipping and Insurance (CIF Saint Petersburg)</w:t>
            </w:r>
          </w:p>
        </w:tc>
        <w:tc>
          <w:tcPr/>
          <w:p>
            <w:pPr>
              <w:pStyle w:val="Compact"/>
              <w:jc w:val="left"/>
            </w:pPr>
            <w:r>
              <w:t xml:space="preserve">385,000.00</w:t>
            </w:r>
          </w:p>
        </w:tc>
      </w:tr>
      <w:tr>
        <w:tc>
          <w:tcPr>
            <w:gridSpan w:val="4"/>
          </w:tcPr>
          <w:p>
            <w:pPr>
              <w:pStyle w:val="Compact"/>
              <w:jc w:val="left"/>
            </w:pPr>
            <w:r>
              <w:t xml:space="preserve">GRAND TOTAL (RUB)</w:t>
            </w:r>
          </w:p>
        </w:tc>
        <w:tc>
          <w:tcPr/>
          <w:p>
            <w:pPr>
              <w:pStyle w:val="Compact"/>
              <w:jc w:val="left"/>
            </w:pPr>
            <w:r>
              <w:t xml:space="preserve">17,881,000.00</w:t>
            </w:r>
          </w:p>
        </w:tc>
      </w:tr>
    </w:tbl>
    <w:bookmarkEnd w:id="23"/>
    <w:bookmarkStart w:id="24" w:name="delivery-terms-and-conditions"/>
    <w:p>
      <w:pPr>
        <w:pStyle w:val="Heading2"/>
      </w:pPr>
      <w:r>
        <w:t xml:space="preserve">5. Delivery Terms and Conditions</w:t>
      </w:r>
    </w:p>
    <w:p>
      <w:pPr>
        <w:pStyle w:val="FirstParagraph"/>
      </w:pPr>
      <w:r>
        <w:rPr>
          <w:bCs/>
          <w:b/>
        </w:rPr>
        <w:t xml:space="preserve">Delivery Location:</w:t>
      </w:r>
      <w:r>
        <w:t xml:space="preserve"> </w:t>
      </w:r>
      <w:r>
        <w:t xml:space="preserve">Northern Lights Performing Arts Group LLC, 12 Fontanka Embankment, Building 4, Saint Petersburg, 191025, Russia. All</w:t>
      </w:r>
      <w:r>
        <w:t xml:space="preserve"> </w:t>
      </w:r>
      <w:r>
        <w:rPr>
          <w:bCs/>
          <w:b/>
        </w:rPr>
        <w:t xml:space="preserve">Actor</w:t>
      </w:r>
      <w:r>
        <w:t xml:space="preserve"> </w:t>
      </w:r>
      <w:r>
        <w:t xml:space="preserve">system components shall be delivered to the specified address in Saint Petersburg, Russia, where the buyer's technical team will receive and inspect the goods.</w:t>
      </w:r>
    </w:p>
    <w:p>
      <w:pPr>
        <w:pStyle w:val="BodyText"/>
      </w:pPr>
      <w:r>
        <w:rPr>
          <w:bCs/>
          <w:b/>
        </w:rPr>
        <w:t xml:space="preserve">Delivery Deadline:</w:t>
      </w:r>
      <w:r>
        <w:t xml:space="preserve"> </w:t>
      </w:r>
      <w:r>
        <w:t xml:space="preserve">All items listed in this Purchase Order must be delivered no later than 30 September 2025. The</w:t>
      </w:r>
      <w:r>
        <w:t xml:space="preserve"> </w:t>
      </w:r>
      <w:r>
        <w:rPr>
          <w:bCs/>
          <w:b/>
        </w:rPr>
        <w:t xml:space="preserve">Actor</w:t>
      </w:r>
      <w:r>
        <w:t xml:space="preserve"> </w:t>
      </w:r>
      <w:r>
        <w:t xml:space="preserve">Core Processing Unit and primary hardware modules (Items 01 through 05) shall arrive no later than 15 September 2025 to allow sufficient time for installation and calibration prior to the buyer's autumn theatrical season.</w:t>
      </w:r>
    </w:p>
    <w:p>
      <w:pPr>
        <w:pStyle w:val="BodyText"/>
      </w:pPr>
      <w:r>
        <w:rPr>
          <w:bCs/>
          <w:b/>
        </w:rPr>
        <w:t xml:space="preserve">Incoterms:</w:t>
      </w:r>
      <w:r>
        <w:t xml:space="preserve"> </w:t>
      </w:r>
      <w:r>
        <w:t xml:space="preserve">CIF (Cost, Insurance, and Freight) Saint Petersburg, Russia, in accordance with Incoterms 2020. The seller shall bear all costs and risks associated with international transportation, customs clearance in the Russian Federation, and insurance of the</w:t>
      </w:r>
      <w:r>
        <w:t xml:space="preserve"> </w:t>
      </w:r>
      <w:r>
        <w:rPr>
          <w:bCs/>
          <w:b/>
        </w:rPr>
        <w:t xml:space="preserve">Actor</w:t>
      </w:r>
      <w:r>
        <w:t xml:space="preserve"> </w:t>
      </w:r>
      <w:r>
        <w:t xml:space="preserve">system components until delivery at the named port of destination in Saint Petersburg.</w:t>
      </w:r>
    </w:p>
    <w:p>
      <w:pPr>
        <w:pStyle w:val="BodyText"/>
      </w:pPr>
      <w:r>
        <w:rPr>
          <w:bCs/>
          <w:b/>
        </w:rPr>
        <w:t xml:space="preserve">Customs and Import Compliance:</w:t>
      </w:r>
      <w:r>
        <w:t xml:space="preserve"> </w:t>
      </w:r>
      <w:r>
        <w:t xml:space="preserve">The seller shall provide all necessary documentation for customs clearance within the Russian Federation, including commercial invoices, packing lists, certificates of origin, and any technical compliance certificates required for the import of professional audio-visual and stage automation equipment into Russia. The buyer shall be responsible for payment of any applicable import duties and customs fees levied by the Federal Customs Service of Russia.</w:t>
      </w:r>
    </w:p>
    <w:bookmarkEnd w:id="24"/>
    <w:bookmarkStart w:id="25" w:name="payment-terms"/>
    <w:p>
      <w:pPr>
        <w:pStyle w:val="Heading2"/>
      </w:pPr>
      <w:r>
        <w:t xml:space="preserve">6. Payment Terms</w:t>
      </w:r>
    </w:p>
    <w:p>
      <w:pPr>
        <w:pStyle w:val="FirstParagraph"/>
      </w:pPr>
      <w:r>
        <w:rPr>
          <w:bCs/>
          <w:b/>
        </w:rPr>
        <w:t xml:space="preserve">Payment Schedule:</w:t>
      </w:r>
      <w:r>
        <w:br/>
      </w:r>
      <w:r>
        <w:t xml:space="preserve">- 30% advance payment (RUB 5,364,300.00) due within 10 business days of the acceptance of this Purchase Order by both parties.</w:t>
      </w:r>
      <w:r>
        <w:br/>
      </w:r>
      <w:r>
        <w:t xml:space="preserve">- 50% progress payment (RUB 8,940,500.00) due upon confirmation of shipment and presentation of the Bill of Lading for the</w:t>
      </w:r>
      <w:r>
        <w:t xml:space="preserve"> </w:t>
      </w:r>
      <w:r>
        <w:rPr>
          <w:bCs/>
          <w:b/>
        </w:rPr>
        <w:t xml:space="preserve">Actor</w:t>
      </w:r>
      <w:r>
        <w:t xml:space="preserve"> </w:t>
      </w:r>
      <w:r>
        <w:t xml:space="preserve">system components.</w:t>
      </w:r>
      <w:r>
        <w:br/>
      </w:r>
      <w:r>
        <w:t xml:space="preserve">- 20% final payment (RUB 3,576,200.00) due within 15 business days following successful installation, commissioning, and acceptance of the complete</w:t>
      </w:r>
      <w:r>
        <w:t xml:space="preserve"> </w:t>
      </w:r>
      <w:r>
        <w:rPr>
          <w:bCs/>
          <w:b/>
        </w:rPr>
        <w:t xml:space="preserve">Actor</w:t>
      </w:r>
      <w:r>
        <w:t xml:space="preserve"> </w:t>
      </w:r>
      <w:r>
        <w:t xml:space="preserve">system at the Saint Petersburg venue.</w:t>
      </w:r>
    </w:p>
    <w:p>
      <w:pPr>
        <w:pStyle w:val="BodyText"/>
      </w:pPr>
      <w:r>
        <w:rPr>
          <w:bCs/>
          <w:b/>
        </w:rPr>
        <w:t xml:space="preserve">Payment Method:</w:t>
      </w:r>
      <w:r>
        <w:t xml:space="preserve"> </w:t>
      </w:r>
      <w:r>
        <w:t xml:space="preserve">Wire transfer to the seller's designated bank account. All payments shall be made in Russian Rubles (RUB) to the following account: Actor Technologies International GmbH, Bank: Deutsche Bank AG, IBAN: DE89 3704 0044 0532 0130 00, BIC/SWIFT: DEUTDEFF. The buyer shall bear any intermediary bank charges associated with international transfers.</w:t>
      </w:r>
    </w:p>
    <w:bookmarkEnd w:id="25"/>
    <w:bookmarkStart w:id="26" w:name="acceptance-and-inspection"/>
    <w:p>
      <w:pPr>
        <w:pStyle w:val="Heading2"/>
      </w:pPr>
      <w:r>
        <w:t xml:space="preserve">7. Acceptance and Inspection</w:t>
      </w:r>
    </w:p>
    <w:p>
      <w:pPr>
        <w:pStyle w:val="FirstParagraph"/>
      </w:pPr>
      <w:r>
        <w:t xml:space="preserve">Upon arrival at the delivery address in Saint Petersburg, Russia, the buyer's technical team shall have a period of 10 business days to inspect and test all</w:t>
      </w:r>
      <w:r>
        <w:t xml:space="preserve"> </w:t>
      </w:r>
      <w:r>
        <w:rPr>
          <w:bCs/>
          <w:b/>
        </w:rPr>
        <w:t xml:space="preserve">Actor</w:t>
      </w:r>
      <w:r>
        <w:t xml:space="preserve"> </w:t>
      </w:r>
      <w:r>
        <w:t xml:space="preserve">system components. The buyer shall issue a written Acceptance Certificate or a Notice of Non-Conformity within this period. Any defects, missing items, or non-conformities identified during inspection shall be remedied by the seller at the seller's sole cost, including re-shipment of replacement</w:t>
      </w:r>
      <w:r>
        <w:t xml:space="preserve"> </w:t>
      </w:r>
      <w:r>
        <w:rPr>
          <w:bCs/>
          <w:b/>
        </w:rPr>
        <w:t xml:space="preserve">Actor</w:t>
      </w:r>
      <w:r>
        <w:t xml:space="preserve"> </w:t>
      </w:r>
      <w:r>
        <w:t xml:space="preserve">components to Saint Petersburg, Russia.</w:t>
      </w:r>
    </w:p>
    <w:bookmarkEnd w:id="26"/>
    <w:bookmarkStart w:id="27" w:name="warranties-and-intellectual-property"/>
    <w:p>
      <w:pPr>
        <w:pStyle w:val="Heading2"/>
      </w:pPr>
      <w:r>
        <w:t xml:space="preserve">8. Warranties and Intellectual Property</w:t>
      </w:r>
    </w:p>
    <w:p>
      <w:pPr>
        <w:pStyle w:val="FirstParagraph"/>
      </w:pPr>
      <w:r>
        <w:t xml:space="preserve">The seller warrants that all</w:t>
      </w:r>
      <w:r>
        <w:t xml:space="preserve"> </w:t>
      </w:r>
      <w:r>
        <w:rPr>
          <w:bCs/>
          <w:b/>
        </w:rPr>
        <w:t xml:space="preserve">Actor</w:t>
      </w:r>
      <w:r>
        <w:t xml:space="preserve"> </w:t>
      </w:r>
      <w:r>
        <w:t xml:space="preserve">system hardware and software delivered under this Purchase Order shall be free from defects in materials and workmanship for a period of 36 months from the date of acceptance. The seller grants the buyer a perpetual, non-transferable license to use the</w:t>
      </w:r>
      <w:r>
        <w:t xml:space="preserve"> </w:t>
      </w:r>
      <w:r>
        <w:rPr>
          <w:bCs/>
          <w:b/>
        </w:rPr>
        <w:t xml:space="preserve">Actor</w:t>
      </w:r>
      <w:r>
        <w:t xml:space="preserve"> </w:t>
      </w:r>
      <w:r>
        <w:t xml:space="preserve">proprietary software exclusively at the buyer's venue in Saint Petersburg, Russia. All intellectual property rights in the</w:t>
      </w:r>
      <w:r>
        <w:t xml:space="preserve"> </w:t>
      </w:r>
      <w:r>
        <w:rPr>
          <w:bCs/>
          <w:b/>
        </w:rPr>
        <w:t xml:space="preserve">Actor</w:t>
      </w:r>
      <w:r>
        <w:t xml:space="preserve"> </w:t>
      </w:r>
      <w:r>
        <w:t xml:space="preserve">system, including but not limited to software code, firmware, and design documentation, remain the exclusive property of Actor Technologies International GmbH.</w:t>
      </w:r>
    </w:p>
    <w:bookmarkEnd w:id="27"/>
    <w:bookmarkStart w:id="28" w:name="governing-law-and-dispute-resolution"/>
    <w:p>
      <w:pPr>
        <w:pStyle w:val="Heading2"/>
      </w:pPr>
      <w:r>
        <w:t xml:space="preserve">9. Governing Law and Dispute Resolution</w:t>
      </w:r>
    </w:p>
    <w:p>
      <w:pPr>
        <w:pStyle w:val="FirstParagraph"/>
      </w:pPr>
      <w:r>
        <w:t xml:space="preserve">This Purchase Order shall be governed by and construed in accordance with the laws of the Russian Federation. Any disputes arising out of or in connection with this Purchase Order, including disputes relating to the delivery, installation, or performance of the</w:t>
      </w:r>
      <w:r>
        <w:t xml:space="preserve"> </w:t>
      </w:r>
      <w:r>
        <w:rPr>
          <w:bCs/>
          <w:b/>
        </w:rPr>
        <w:t xml:space="preserve">Actor</w:t>
      </w:r>
      <w:r>
        <w:t xml:space="preserve"> </w:t>
      </w:r>
      <w:r>
        <w:t xml:space="preserve">system in Saint Petersburg, Russia, shall be resolved through amicable negotiation. If negotiation fails within 30 days, the dispute shall be submitted to the Arbitration Court of the Saint Petersburg and Leningrad Region for final and binding resolution.</w:t>
      </w:r>
    </w:p>
    <w:bookmarkEnd w:id="28"/>
    <w:bookmarkStart w:id="29" w:name="general-provisions"/>
    <w:p>
      <w:pPr>
        <w:pStyle w:val="Heading2"/>
      </w:pPr>
      <w:r>
        <w:t xml:space="preserve">10. General Provisions</w:t>
      </w:r>
    </w:p>
    <w:p>
      <w:pPr>
        <w:pStyle w:val="FirstParagraph"/>
      </w:pPr>
      <w:r>
        <w:t xml:space="preserve">This Purchase Order constitutes the entire agreement between the buyer and the seller with respect to the subject matter herein and supersedes all prior negotiations, representations, and agreements. No modification or amendment to this Purchase Order shall be valid unless made in writing and signed by authorized representatives of both parties. The seller shall not assign or subcontract any obligations under this Purchase Order without the prior written consent of the buyer. Force majeure events, including but not limited to natural disasters, government sanctions, or international trade restrictions affecting the Russian Federation, shall relieve the affected party from performance obligations for the duration of such event, provided that written notice is given within 5 business days.</w:t>
      </w:r>
    </w:p>
    <w:bookmarkEnd w:id="29"/>
    <w:bookmarkStart w:id="30" w:name="authorization-and-signatures"/>
    <w:p>
      <w:pPr>
        <w:pStyle w:val="Heading2"/>
      </w:pPr>
      <w:r>
        <w:t xml:space="preserve">11. Authorization and Signatures</w:t>
      </w:r>
    </w:p>
    <w:p>
      <w:pPr>
        <w:pStyle w:val="FirstParagraph"/>
      </w:pPr>
      <w:r>
        <w:rPr>
          <w:bCs/>
          <w:b/>
        </w:rPr>
        <w:t xml:space="preserve">For and on behalf of the Buyer:</w:t>
      </w:r>
      <w:r>
        <w:br/>
      </w:r>
      <w:r>
        <w:t xml:space="preserve">Northern Lights Performing Arts Group LLC</w:t>
      </w:r>
      <w:r>
        <w:br/>
      </w:r>
      <w:r>
        <w:t xml:space="preserve">Saint Petersburg, Russia</w:t>
      </w:r>
    </w:p>
    <w:p>
      <w:pPr>
        <w:pStyle w:val="BodyText"/>
      </w:pPr>
      <w:r>
        <w:rPr>
          <w:bCs/>
          <w:b/>
        </w:rPr>
        <w:t xml:space="preserve">Name:</w:t>
      </w:r>
      <w:r>
        <w:t xml:space="preserve"> </w:t>
      </w:r>
      <w:r>
        <w:t xml:space="preserve">Elena V. Sokolova</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Seller:</w:t>
      </w:r>
      <w:r>
        <w:br/>
      </w:r>
      <w:r>
        <w:t xml:space="preserve">Actor Technologies International GmbH</w:t>
      </w:r>
      <w:r>
        <w:br/>
      </w:r>
      <w:r>
        <w:t xml:space="preserve">Munich, Germany</w:t>
      </w:r>
    </w:p>
    <w:p>
      <w:pPr>
        <w:pStyle w:val="BodyText"/>
      </w:pPr>
      <w:r>
        <w:rPr>
          <w:bCs/>
          <w:b/>
        </w:rPr>
        <w:t xml:space="preserve">Name:</w:t>
      </w:r>
      <w:r>
        <w:t xml:space="preserve"> </w:t>
      </w:r>
      <w:r>
        <w:t xml:space="preserve">Dr. Markus Weber</w:t>
      </w:r>
      <w:r>
        <w:br/>
      </w:r>
      <w:r>
        <w:rPr>
          <w:bCs/>
          <w:b/>
        </w:rPr>
        <w:t xml:space="preserve">Title:</w:t>
      </w:r>
      <w:r>
        <w:t xml:space="preserve"> </w:t>
      </w:r>
      <w:r>
        <w:t xml:space="preserve">Export Sales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(PO-RSP-2025-04782) is issued for the procurement of the Actor Professional Stage Production System for use at the Northern Lights Performing Arts Group venue in Saint Petersburg, Russia. This document is valid only when signed and sealed by both parties. Unauthorized reproduction or distribution of this Purchase Order is prohibited.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System - Russia Saint Petersburg</dc:title>
  <dc:creator/>
  <dc:language>en</dc:language>
  <cp:keywords/>
  <dcterms:created xsi:type="dcterms:W3CDTF">2026-10-10T01:59:39Z</dcterms:created>
  <dcterms:modified xsi:type="dcterms:W3CDTF">2026-10-10T01:59:39Z</dcterms:modified>
</cp:coreProperties>
</file>

<file path=docProps/custom.xml><?xml version="1.0" encoding="utf-8"?>
<Properties xmlns="http://schemas.openxmlformats.org/officeDocument/2006/custom-properties" xmlns:vt="http://schemas.openxmlformats.org/officeDocument/2006/docPropsVTypes"/>
</file>