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Systems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Al-Nakheel Entertainment &amp; Production Co. Ltd. — Jeddah, Saudi Arabia</w:t>
      </w:r>
    </w:p>
    <w:bookmarkEnd w:id="20"/>
    <w:p>
      <w:pPr>
        <w:pStyle w:val="BodyText"/>
      </w:pPr>
      <w:r>
        <w:rPr>
          <w:bCs/>
          <w:b/>
        </w:rPr>
        <w:t xml:space="preserve">Purchase Order No.:</w:t>
      </w:r>
      <w:r>
        <w:t xml:space="preserve"> </w:t>
      </w:r>
      <w:r>
        <w:t xml:space="preserve">PO-JED-2025-04871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45 Days</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Al-Nakheel Entertainment &amp; Production Co. Ltd.</w:t>
            </w:r>
          </w:p>
        </w:tc>
      </w:tr>
      <w:tr>
        <w:tc>
          <w:tcPr/>
          <w:p>
            <w:pPr>
              <w:pStyle w:val="Compact"/>
              <w:jc w:val="left"/>
            </w:pPr>
            <w:r>
              <w:rPr>
                <w:bCs/>
                <w:b/>
              </w:rPr>
              <w:t xml:space="preserve">Address:</w:t>
            </w:r>
          </w:p>
        </w:tc>
        <w:tc>
          <w:tcPr/>
          <w:p>
            <w:pPr>
              <w:pStyle w:val="Compact"/>
              <w:jc w:val="left"/>
            </w:pPr>
            <w:r>
              <w:t xml:space="preserve">King Fahd Road, Al-Shati District, Jeddah 23412, Saudi Arabia</w:t>
            </w:r>
          </w:p>
        </w:tc>
      </w:tr>
      <w:tr>
        <w:tc>
          <w:tcPr/>
          <w:p>
            <w:pPr>
              <w:pStyle w:val="Compact"/>
              <w:jc w:val="left"/>
            </w:pPr>
            <w:r>
              <w:rPr>
                <w:bCs/>
                <w:b/>
              </w:rPr>
              <w:t xml:space="preserve">CR Number:</w:t>
            </w:r>
          </w:p>
        </w:tc>
        <w:tc>
          <w:tcPr/>
          <w:p>
            <w:pPr>
              <w:pStyle w:val="Compact"/>
              <w:jc w:val="left"/>
            </w:pPr>
            <w:r>
              <w:t xml:space="preserve">1010458723</w:t>
            </w:r>
          </w:p>
        </w:tc>
      </w:tr>
      <w:tr>
        <w:tc>
          <w:tcPr/>
          <w:p>
            <w:pPr>
              <w:pStyle w:val="Compact"/>
              <w:jc w:val="left"/>
            </w:pPr>
            <w:r>
              <w:rPr>
                <w:bCs/>
                <w:b/>
              </w:rPr>
              <w:t xml:space="preserve">VAT Number:</w:t>
            </w:r>
          </w:p>
        </w:tc>
        <w:tc>
          <w:tcPr/>
          <w:p>
            <w:pPr>
              <w:pStyle w:val="Compact"/>
              <w:jc w:val="left"/>
            </w:pPr>
            <w:r>
              <w:t xml:space="preserve">310158723400003</w:t>
            </w:r>
          </w:p>
        </w:tc>
      </w:tr>
      <w:tr>
        <w:tc>
          <w:tcPr/>
          <w:p>
            <w:pPr>
              <w:pStyle w:val="Compact"/>
              <w:jc w:val="left"/>
            </w:pPr>
            <w:r>
              <w:rPr>
                <w:bCs/>
                <w:b/>
              </w:rPr>
              <w:t xml:space="preserve">Contact Person:</w:t>
            </w:r>
          </w:p>
        </w:tc>
        <w:tc>
          <w:tcPr/>
          <w:p>
            <w:pPr>
              <w:pStyle w:val="Compact"/>
              <w:jc w:val="left"/>
            </w:pPr>
            <w:r>
              <w:t xml:space="preserve">Eng. Khalid Al-Otaibi, Procurement Director</w:t>
            </w:r>
          </w:p>
        </w:tc>
      </w:tr>
      <w:tr>
        <w:tc>
          <w:tcPr/>
          <w:p>
            <w:pPr>
              <w:pStyle w:val="Compact"/>
              <w:jc w:val="left"/>
            </w:pPr>
            <w:r>
              <w:rPr>
                <w:bCs/>
                <w:b/>
              </w:rPr>
              <w:t xml:space="preserve">Email / Phone:</w:t>
            </w:r>
          </w:p>
        </w:tc>
        <w:tc>
          <w:tcPr/>
          <w:p>
            <w:pPr>
              <w:pStyle w:val="Compact"/>
              <w:jc w:val="left"/>
            </w:pPr>
            <w:r>
              <w:t xml:space="preserve">procurement@alnakheel-sa.com / +966 12 655 4400</w:t>
            </w:r>
          </w:p>
        </w:tc>
      </w:tr>
    </w:tbl>
    <w:bookmarkEnd w:id="21"/>
    <w:bookmarkStart w:id="22" w:name="supplier-information"/>
    <w:p>
      <w:pPr>
        <w:pStyle w:val="Heading2"/>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Actor Global Technologies GmbH</w:t>
            </w:r>
          </w:p>
        </w:tc>
      </w:tr>
      <w:tr>
        <w:tc>
          <w:tcPr/>
          <w:p>
            <w:pPr>
              <w:pStyle w:val="Compact"/>
              <w:jc w:val="left"/>
            </w:pPr>
            <w:r>
              <w:rPr>
                <w:bCs/>
                <w:b/>
              </w:rPr>
              <w:t xml:space="preserve">Address:</w:t>
            </w:r>
          </w:p>
        </w:tc>
        <w:tc>
          <w:tcPr/>
          <w:p>
            <w:pPr>
              <w:pStyle w:val="Compact"/>
              <w:jc w:val="left"/>
            </w:pPr>
            <w:r>
              <w:t xml:space="preserve">Industriestraße 42, 80331 Munich, Germany</w:t>
            </w:r>
          </w:p>
        </w:tc>
      </w:tr>
      <w:tr>
        <w:tc>
          <w:tcPr/>
          <w:p>
            <w:pPr>
              <w:pStyle w:val="Compact"/>
              <w:jc w:val="left"/>
            </w:pPr>
            <w:r>
              <w:rPr>
                <w:bCs/>
                <w:b/>
              </w:rPr>
              <w:t xml:space="preserve">Registration No.:</w:t>
            </w:r>
          </w:p>
        </w:tc>
        <w:tc>
          <w:tcPr/>
          <w:p>
            <w:pPr>
              <w:pStyle w:val="Compact"/>
              <w:jc w:val="left"/>
            </w:pPr>
            <w:r>
              <w:t xml:space="preserve">HRB 987654, Amtsgericht München</w:t>
            </w:r>
          </w:p>
        </w:tc>
      </w:tr>
      <w:tr>
        <w:tc>
          <w:tcPr/>
          <w:p>
            <w:pPr>
              <w:pStyle w:val="Compact"/>
              <w:jc w:val="left"/>
            </w:pPr>
            <w:r>
              <w:rPr>
                <w:bCs/>
                <w:b/>
              </w:rPr>
              <w:t xml:space="preserve">Contact Person:</w:t>
            </w:r>
          </w:p>
        </w:tc>
        <w:tc>
          <w:tcPr/>
          <w:p>
            <w:pPr>
              <w:pStyle w:val="Compact"/>
              <w:jc w:val="left"/>
            </w:pPr>
            <w:r>
              <w:t xml:space="preserve">Ms. Ingrid Weber, Regional Sales Manager – Middle East</w:t>
            </w:r>
          </w:p>
        </w:tc>
      </w:tr>
      <w:tr>
        <w:tc>
          <w:tcPr/>
          <w:p>
            <w:pPr>
              <w:pStyle w:val="Compact"/>
              <w:jc w:val="left"/>
            </w:pPr>
            <w:r>
              <w:rPr>
                <w:bCs/>
                <w:b/>
              </w:rPr>
              <w:t xml:space="preserve">Email / Phone:</w:t>
            </w:r>
          </w:p>
        </w:tc>
        <w:tc>
          <w:tcPr/>
          <w:p>
            <w:pPr>
              <w:pStyle w:val="Compact"/>
              <w:jc w:val="left"/>
            </w:pPr>
            <w:r>
              <w:t xml:space="preserve">sales.me@actorglobal.com / +49 89 5550 2200</w:t>
            </w:r>
          </w:p>
        </w:tc>
      </w:tr>
    </w:tbl>
    <w:bookmarkEnd w:id="22"/>
    <w:bookmarkStart w:id="23" w:name="Xcfeecc7f52928e4ec9fb1a881516775804c71f5"/>
    <w:p>
      <w:pPr>
        <w:pStyle w:val="Heading2"/>
      </w:pPr>
      <w:r>
        <w:t xml:space="preserve">3. Description of Goods — Actor Performance &amp; Production System</w:t>
      </w:r>
    </w:p>
    <w:p>
      <w:pPr>
        <w:pStyle w:val="FirstParagraph"/>
      </w:pPr>
      <w:r>
        <w:t xml:space="preserve">This</w:t>
      </w:r>
      <w:r>
        <w:t xml:space="preserve"> </w:t>
      </w:r>
      <w:r>
        <w:t xml:space="preserve">Purchase Order</w:t>
      </w:r>
      <w:r>
        <w:t xml:space="preserve"> </w:t>
      </w:r>
      <w:r>
        <w:t xml:space="preserve">is issued by Al-Nakheel Entertainment &amp; Production Co. Ltd., headquartered in</w:t>
      </w:r>
      <w:r>
        <w:t xml:space="preserve"> </w:t>
      </w:r>
      <w:r>
        <w:t xml:space="preserve">Saudi Arabia Jeddah</w:t>
      </w:r>
      <w:r>
        <w:t xml:space="preserve">, for the acquisition of the</w:t>
      </w:r>
      <w:r>
        <w:t xml:space="preserve"> </w:t>
      </w:r>
      <w:r>
        <w:t xml:space="preserve">Actor</w:t>
      </w:r>
      <w:r>
        <w:t xml:space="preserve"> </w:t>
      </w:r>
      <w:r>
        <w:t xml:space="preserve">Professional Performance and Production System. The</w:t>
      </w:r>
      <w:r>
        <w:t xml:space="preserve"> </w:t>
      </w:r>
      <w:r>
        <w:t xml:space="preserve">Actor</w:t>
      </w:r>
      <w:r>
        <w:t xml:space="preserve"> </w:t>
      </w:r>
      <w:r>
        <w:t xml:space="preserve">system is a comprehensive, integrated suite of stage lighting, high-fidelity audio, and 4K video projection technology designed for large-scale theatrical productions, corporate events, and live entertainment venues. The procurement of this</w:t>
      </w:r>
      <w:r>
        <w:t xml:space="preserve"> </w:t>
      </w:r>
      <w:r>
        <w:t xml:space="preserve">Actor</w:t>
      </w:r>
      <w:r>
        <w:t xml:space="preserve"> </w:t>
      </w:r>
      <w:r>
        <w:t xml:space="preserve">system is intended to equip the newly commissioned Al-Shati Grand Theatre in</w:t>
      </w:r>
      <w:r>
        <w:t xml:space="preserve"> </w:t>
      </w:r>
      <w:r>
        <w:t xml:space="preserve">Saudi Arabia Jeddah</w:t>
      </w:r>
      <w:r>
        <w:t xml:space="preserve"> </w:t>
      </w:r>
      <w:r>
        <w:t xml:space="preserve">with world-class production infrastructure in alignment with the Kingdom's Vision 2030 cultural and entertainment development objectives.</w:t>
      </w:r>
    </w:p>
    <w:bookmarkEnd w:id="23"/>
    <w:bookmarkStart w:id="24" w:name="itemized-order-details"/>
    <w:p>
      <w:pPr>
        <w:pStyle w:val="Heading2"/>
      </w:pPr>
      <w:r>
        <w:t xml:space="preserve">4. Itemized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Actor Core Stage Lighting Array (120-channel DMX512, 18,000W total output)</w:t>
            </w:r>
          </w:p>
        </w:tc>
        <w:tc>
          <w:tcPr/>
          <w:p>
            <w:pPr>
              <w:pStyle w:val="Compact"/>
              <w:jc w:val="left"/>
            </w:pPr>
            <w:r>
              <w:t xml:space="preserve">1 Set</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02</w:t>
            </w:r>
          </w:p>
        </w:tc>
        <w:tc>
          <w:tcPr/>
          <w:p>
            <w:pPr>
              <w:pStyle w:val="Compact"/>
              <w:jc w:val="left"/>
            </w:pPr>
            <w:r>
              <w:t xml:space="preserve">Actor Immersive Audio System (128-channel, Dolby Atmos certified, 96kHz/24-bit)</w:t>
            </w:r>
          </w:p>
        </w:tc>
        <w:tc>
          <w:tcPr/>
          <w:p>
            <w:pPr>
              <w:pStyle w:val="Compact"/>
              <w:jc w:val="left"/>
            </w:pPr>
            <w:r>
              <w:t xml:space="preserve">1 Set</w:t>
            </w:r>
          </w:p>
        </w:tc>
        <w:tc>
          <w:tcPr/>
          <w:p>
            <w:pPr>
              <w:pStyle w:val="Compact"/>
              <w:jc w:val="left"/>
            </w:pPr>
            <w:r>
              <w:t xml:space="preserve">875,000.00</w:t>
            </w:r>
          </w:p>
        </w:tc>
        <w:tc>
          <w:tcPr/>
          <w:p>
            <w:pPr>
              <w:pStyle w:val="Compact"/>
              <w:jc w:val="left"/>
            </w:pPr>
            <w:r>
              <w:t xml:space="preserve">875,000.00</w:t>
            </w:r>
          </w:p>
        </w:tc>
      </w:tr>
      <w:tr>
        <w:tc>
          <w:tcPr/>
          <w:p>
            <w:pPr>
              <w:pStyle w:val="Compact"/>
              <w:jc w:val="left"/>
            </w:pPr>
            <w:r>
              <w:t xml:space="preserve">03</w:t>
            </w:r>
          </w:p>
        </w:tc>
        <w:tc>
          <w:tcPr/>
          <w:p>
            <w:pPr>
              <w:pStyle w:val="Compact"/>
              <w:jc w:val="left"/>
            </w:pPr>
            <w:r>
              <w:t xml:space="preserve">Actor 4K LED Video Wall (32m × 12m, 0.8mm pixel pitch, 5,000 nits)</w:t>
            </w:r>
          </w:p>
        </w:tc>
        <w:tc>
          <w:tcPr/>
          <w:p>
            <w:pPr>
              <w:pStyle w:val="Compact"/>
              <w:jc w:val="left"/>
            </w:pPr>
            <w:r>
              <w:t xml:space="preserve">1 Unit</w:t>
            </w:r>
          </w:p>
        </w:tc>
        <w:tc>
          <w:tcPr/>
          <w:p>
            <w:pPr>
              <w:pStyle w:val="Compact"/>
              <w:jc w:val="left"/>
            </w:pPr>
            <w:r>
              <w:t xml:space="preserve">2,100,000.00</w:t>
            </w:r>
          </w:p>
        </w:tc>
        <w:tc>
          <w:tcPr/>
          <w:p>
            <w:pPr>
              <w:pStyle w:val="Compact"/>
              <w:jc w:val="left"/>
            </w:pPr>
            <w:r>
              <w:t xml:space="preserve">2,100,000.00</w:t>
            </w:r>
          </w:p>
        </w:tc>
      </w:tr>
      <w:tr>
        <w:tc>
          <w:tcPr/>
          <w:p>
            <w:pPr>
              <w:pStyle w:val="Compact"/>
              <w:jc w:val="left"/>
            </w:pPr>
            <w:r>
              <w:t xml:space="preserve">04</w:t>
            </w:r>
          </w:p>
        </w:tc>
        <w:tc>
          <w:tcPr/>
          <w:p>
            <w:pPr>
              <w:pStyle w:val="Compact"/>
              <w:jc w:val="left"/>
            </w:pPr>
            <w:r>
              <w:t xml:space="preserve">Actor Central Control Console (touchscreen, redundant network, 200+ cue memory)</w:t>
            </w:r>
          </w:p>
        </w:tc>
        <w:tc>
          <w:tcPr/>
          <w:p>
            <w:pPr>
              <w:pStyle w:val="Compact"/>
              <w:jc w:val="left"/>
            </w:pPr>
            <w:r>
              <w:t xml:space="preserve">2 Units</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05</w:t>
            </w:r>
          </w:p>
        </w:tc>
        <w:tc>
          <w:tcPr/>
          <w:p>
            <w:pPr>
              <w:pStyle w:val="Compact"/>
              <w:jc w:val="left"/>
            </w:pPr>
            <w:r>
              <w:t xml:space="preserve">Actor Wireless Microphone &amp; RF Management Kit (16 channels, AES-256 encrypted)</w:t>
            </w:r>
          </w:p>
        </w:tc>
        <w:tc>
          <w:tcPr/>
          <w:p>
            <w:pPr>
              <w:pStyle w:val="Compact"/>
              <w:jc w:val="left"/>
            </w:pPr>
            <w:r>
              <w:t xml:space="preserve">4 Sets</w:t>
            </w:r>
          </w:p>
        </w:tc>
        <w:tc>
          <w:tcPr/>
          <w:p>
            <w:pPr>
              <w:pStyle w:val="Compact"/>
              <w:jc w:val="left"/>
            </w:pPr>
            <w:r>
              <w:t xml:space="preserve">42,500.00</w:t>
            </w:r>
          </w:p>
        </w:tc>
        <w:tc>
          <w:tcPr/>
          <w:p>
            <w:pPr>
              <w:pStyle w:val="Compact"/>
              <w:jc w:val="left"/>
            </w:pPr>
            <w:r>
              <w:t xml:space="preserve">170,000.00</w:t>
            </w:r>
          </w:p>
        </w:tc>
      </w:tr>
      <w:tr>
        <w:tc>
          <w:tcPr/>
          <w:p>
            <w:pPr>
              <w:pStyle w:val="Compact"/>
              <w:jc w:val="left"/>
            </w:pPr>
            <w:r>
              <w:t xml:space="preserve">06</w:t>
            </w:r>
          </w:p>
        </w:tc>
        <w:tc>
          <w:tcPr/>
          <w:p>
            <w:pPr>
              <w:pStyle w:val="Compact"/>
              <w:jc w:val="left"/>
            </w:pPr>
            <w:r>
              <w:t xml:space="preserve">Actor Installation, Calibration &amp; Commissioning Services (on-site in Jeddah)</w:t>
            </w:r>
          </w:p>
        </w:tc>
        <w:tc>
          <w:tcPr/>
          <w:p>
            <w:pPr>
              <w:pStyle w:val="Compact"/>
              <w:jc w:val="left"/>
            </w:pPr>
            <w:r>
              <w:t xml:space="preserve">1 Lot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07</w:t>
            </w:r>
          </w:p>
        </w:tc>
        <w:tc>
          <w:tcPr/>
          <w:p>
            <w:pPr>
              <w:pStyle w:val="Compact"/>
              <w:jc w:val="left"/>
            </w:pPr>
            <w:r>
              <w:t xml:space="preserve">Actor Operator Training Program (5-day intensive, 12 staff members, Jeddah)</w:t>
            </w:r>
          </w:p>
        </w:tc>
        <w:tc>
          <w:tcPr/>
          <w:p>
            <w:pPr>
              <w:pStyle w:val="Compact"/>
              <w:jc w:val="left"/>
            </w:pPr>
            <w:r>
              <w:t xml:space="preserve">1 Lot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08</w:t>
            </w:r>
          </w:p>
        </w:tc>
        <w:tc>
          <w:tcPr/>
          <w:p>
            <w:pPr>
              <w:pStyle w:val="Compact"/>
              <w:jc w:val="left"/>
            </w:pPr>
            <w:r>
              <w:t xml:space="preserve">Actor 3-Year Extended Warranty &amp; Priority Technical Support (Gulf Region)</w:t>
            </w:r>
          </w:p>
        </w:tc>
        <w:tc>
          <w:tcPr/>
          <w:p>
            <w:pPr>
              <w:pStyle w:val="Compact"/>
              <w:jc w:val="left"/>
            </w:pPr>
            <w:r>
              <w:t xml:space="preserve">1 Lot</w:t>
            </w:r>
          </w:p>
        </w:tc>
        <w:tc>
          <w:tcPr/>
          <w:p>
            <w:pPr>
              <w:pStyle w:val="Compact"/>
              <w:jc w:val="left"/>
            </w:pPr>
            <w:r>
              <w:t xml:space="preserve">210,000.00</w:t>
            </w:r>
          </w:p>
        </w:tc>
        <w:tc>
          <w:tcPr/>
          <w:p>
            <w:pPr>
              <w:pStyle w:val="Compact"/>
              <w:jc w:val="left"/>
            </w:pPr>
            <w:r>
              <w:t xml:space="preserve">210,000.00</w:t>
            </w:r>
          </w:p>
        </w:tc>
      </w:tr>
      <w:tr>
        <w:tc>
          <w:tcPr>
            <w:gridSpan w:val="4"/>
          </w:tcPr>
          <w:p>
            <w:pPr>
              <w:pStyle w:val="Compact"/>
              <w:jc w:val="right"/>
            </w:pPr>
            <w:r>
              <w:t xml:space="preserve">Subtotal (SAR)</w:t>
            </w:r>
          </w:p>
        </w:tc>
        <w:tc>
          <w:tcPr/>
          <w:p>
            <w:pPr>
              <w:pStyle w:val="Compact"/>
              <w:jc w:val="left"/>
            </w:pPr>
            <w:r>
              <w:t xml:space="preserve">5,390,000.00</w:t>
            </w:r>
          </w:p>
        </w:tc>
      </w:tr>
      <w:tr>
        <w:tc>
          <w:tcPr>
            <w:gridSpan w:val="4"/>
          </w:tcPr>
          <w:p>
            <w:pPr>
              <w:pStyle w:val="Compact"/>
              <w:jc w:val="right"/>
            </w:pPr>
            <w:r>
              <w:t xml:space="preserve">VAT @ 15% (Saudi Arabia)</w:t>
            </w:r>
          </w:p>
        </w:tc>
        <w:tc>
          <w:tcPr/>
          <w:p>
            <w:pPr>
              <w:pStyle w:val="Compact"/>
              <w:jc w:val="left"/>
            </w:pPr>
            <w:r>
              <w:t xml:space="preserve">808,500.00</w:t>
            </w:r>
          </w:p>
        </w:tc>
      </w:tr>
      <w:tr>
        <w:tc>
          <w:tcPr>
            <w:gridSpan w:val="4"/>
          </w:tcPr>
          <w:p>
            <w:pPr>
              <w:pStyle w:val="Compact"/>
              <w:jc w:val="right"/>
            </w:pPr>
            <w:r>
              <w:t xml:space="preserve">TOTAL AMOUNT DUE (SAR)</w:t>
            </w:r>
          </w:p>
        </w:tc>
        <w:tc>
          <w:tcPr/>
          <w:p>
            <w:pPr>
              <w:pStyle w:val="Compact"/>
              <w:jc w:val="left"/>
            </w:pPr>
            <w:r>
              <w:t xml:space="preserve">6,198,500.00</w:t>
            </w:r>
          </w:p>
        </w:tc>
      </w:tr>
    </w:tbl>
    <w:bookmarkEnd w:id="24"/>
    <w:bookmarkStart w:id="25" w:name="delivery-installation-terms"/>
    <w:p>
      <w:pPr>
        <w:pStyle w:val="Heading2"/>
      </w:pPr>
      <w:r>
        <w:t xml:space="preserve">5. Delivery &amp; Installation Terms</w:t>
      </w:r>
    </w:p>
    <w:p>
      <w:pPr>
        <w:pStyle w:val="FirstParagraph"/>
      </w:pPr>
      <w:r>
        <w:t xml:space="preserve">All</w:t>
      </w:r>
      <w:r>
        <w:t xml:space="preserve"> </w:t>
      </w:r>
      <w:r>
        <w:t xml:space="preserve">Actor</w:t>
      </w:r>
      <w:r>
        <w:t xml:space="preserve"> </w:t>
      </w:r>
      <w:r>
        <w:t xml:space="preserve">system components shall be delivered to the Al-Shati Grand Theatre premises located at King Fahd Road, Al-Shati District,</w:t>
      </w:r>
      <w:r>
        <w:t xml:space="preserve"> </w:t>
      </w:r>
      <w:r>
        <w:t xml:space="preserve">Saudi Arabia Jeddah</w:t>
      </w:r>
      <w:r>
        <w:t xml:space="preserve">, 23412. The supplier, Actor Global Technologies GmbH, shall bear all shipping, customs clearance, and inland transportation costs within the Kingdom of Saudi Arabia. Delivery is scheduled no later than 30 September 2025. Installation and commissioning of the</w:t>
      </w:r>
      <w:r>
        <w:t xml:space="preserve"> </w:t>
      </w:r>
      <w:r>
        <w:t xml:space="preserve">Actor</w:t>
      </w:r>
      <w:r>
        <w:t xml:space="preserve"> </w:t>
      </w:r>
      <w:r>
        <w:t xml:space="preserve">system shall be completed within 45 calendar days of delivery, with all work performed in strict compliance with Saudi Building Code, Civil Defense regulations, and the technical standards mandated by the General Entertainment Authority (GEA) of</w:t>
      </w:r>
      <w:r>
        <w:t xml:space="preserve"> </w:t>
      </w:r>
      <w:r>
        <w:t xml:space="preserve">Saudi Arabia Jeddah</w:t>
      </w:r>
      <w:r>
        <w:t xml:space="preserve">.</w:t>
      </w:r>
    </w:p>
    <w:bookmarkEnd w:id="25"/>
    <w:bookmarkStart w:id="26" w:name="payment-terms-conditions"/>
    <w:p>
      <w:pPr>
        <w:pStyle w:val="Heading2"/>
      </w:pPr>
      <w:r>
        <w:t xml:space="preserve">6. Payment Terms &amp; Conditions</w:t>
      </w:r>
    </w:p>
    <w:p>
      <w:pPr>
        <w:numPr>
          <w:ilvl w:val="0"/>
          <w:numId w:val="1001"/>
        </w:numPr>
        <w:pStyle w:val="Compact"/>
      </w:pPr>
      <w:r>
        <w:t xml:space="preserve">A 30% advance payment (SAR 1,859,550.00) shall be remitted via irrevocable letter of credit issued by Al-Rajhi Bank, Jeddah Branch, within 10 business days of mutual acceptance of this</w:t>
      </w:r>
      <w:r>
        <w:t xml:space="preserve"> </w:t>
      </w:r>
      <w:r>
        <w:t xml:space="preserve">Purchase Order</w:t>
      </w:r>
      <w:r>
        <w:t xml:space="preserve">.</w:t>
      </w:r>
    </w:p>
    <w:p>
      <w:pPr>
        <w:numPr>
          <w:ilvl w:val="0"/>
          <w:numId w:val="1001"/>
        </w:numPr>
        <w:pStyle w:val="Compact"/>
      </w:pPr>
      <w:r>
        <w:t xml:space="preserve">A 50% progress payment (SAR 3,099,250.00) shall be due upon successful delivery and physical inspection of all</w:t>
      </w:r>
      <w:r>
        <w:t xml:space="preserve"> </w:t>
      </w:r>
      <w:r>
        <w:t xml:space="preserve">Actor</w:t>
      </w:r>
      <w:r>
        <w:t xml:space="preserve"> </w:t>
      </w:r>
      <w:r>
        <w:t xml:space="preserve">equipment at the Jeddah site.</w:t>
      </w:r>
    </w:p>
    <w:p>
      <w:pPr>
        <w:numPr>
          <w:ilvl w:val="0"/>
          <w:numId w:val="1001"/>
        </w:numPr>
        <w:pStyle w:val="Compact"/>
      </w:pPr>
      <w:r>
        <w:t xml:space="preserve">The remaining 20% balance (SAR 1,239,700.00) shall be payable within 45 days of final commissioning, sign-off, and issuance of the Certificate of Completion by the buyer's technical team.</w:t>
      </w:r>
    </w:p>
    <w:p>
      <w:pPr>
        <w:numPr>
          <w:ilvl w:val="0"/>
          <w:numId w:val="1001"/>
        </w:numPr>
        <w:pStyle w:val="Compact"/>
      </w:pPr>
      <w:r>
        <w:t xml:space="preserve">All payments shall be made in Saudi Riyals (SAR) to the supplier's designated account. The exchange rate shall be fixed at the rate prevailing on the date of this</w:t>
      </w:r>
      <w:r>
        <w:t xml:space="preserve"> </w:t>
      </w:r>
      <w:r>
        <w:t xml:space="preserve">Purchase Order</w:t>
      </w:r>
      <w:r>
        <w:t xml:space="preserve"> </w:t>
      </w:r>
      <w:r>
        <w:t xml:space="preserve">(1 EUR = 3.85 SAR).</w:t>
      </w:r>
    </w:p>
    <w:p>
      <w:pPr>
        <w:numPr>
          <w:ilvl w:val="0"/>
          <w:numId w:val="1001"/>
        </w:numPr>
        <w:pStyle w:val="Compact"/>
      </w:pPr>
      <w:r>
        <w:t xml:space="preserve">Late payments shall attract a penalty of 1.5% per month, in accordance with Saudi commercial law.</w:t>
      </w:r>
    </w:p>
    <w:bookmarkEnd w:id="26"/>
    <w:bookmarkStart w:id="27" w:name="Xbc2bd349c62c6672e74e5fc9e1e482c1017fce6"/>
    <w:p>
      <w:pPr>
        <w:pStyle w:val="Heading2"/>
      </w:pPr>
      <w:r>
        <w:t xml:space="preserve">7. Warranties, Compliance &amp; Intellectual Property</w:t>
      </w:r>
    </w:p>
    <w:p>
      <w:pPr>
        <w:pStyle w:val="FirstParagraph"/>
      </w:pPr>
      <w:r>
        <w:t xml:space="preserve">The supplier warrants that all</w:t>
      </w:r>
      <w:r>
        <w:t xml:space="preserve"> </w:t>
      </w:r>
      <w:r>
        <w:t xml:space="preserve">Actor</w:t>
      </w:r>
      <w:r>
        <w:t xml:space="preserve"> </w:t>
      </w:r>
      <w:r>
        <w:t xml:space="preserve">products and services delivered under this</w:t>
      </w:r>
      <w:r>
        <w:t xml:space="preserve"> </w:t>
      </w:r>
      <w:r>
        <w:t xml:space="preserve">Purchase Order</w:t>
      </w:r>
      <w:r>
        <w:t xml:space="preserve"> </w:t>
      </w:r>
      <w:r>
        <w:t xml:space="preserve">shall be new, free from defects in material and workmanship, and fully compliant with the technical specifications outlined in Annex A (attached separately). The</w:t>
      </w:r>
      <w:r>
        <w:t xml:space="preserve"> </w:t>
      </w:r>
      <w:r>
        <w:t xml:space="preserve">Actor</w:t>
      </w:r>
      <w:r>
        <w:t xml:space="preserve"> </w:t>
      </w:r>
      <w:r>
        <w:t xml:space="preserve">system shall carry a minimum 3-year comprehensive warranty covering parts, labor, and on-site technical support within the Kingdom of Saudi Arabia, with a guaranteed response time of 24 hours for critical failures at the</w:t>
      </w:r>
      <w:r>
        <w:t xml:space="preserve"> </w:t>
      </w:r>
      <w:r>
        <w:t xml:space="preserve">Saudi Arabia Jeddah</w:t>
      </w:r>
      <w:r>
        <w:t xml:space="preserve"> </w:t>
      </w:r>
      <w:r>
        <w:t xml:space="preserve">installation site. All intellectual property rights associated with the</w:t>
      </w:r>
      <w:r>
        <w:t xml:space="preserve"> </w:t>
      </w:r>
      <w:r>
        <w:t xml:space="preserve">Actor</w:t>
      </w:r>
      <w:r>
        <w:t xml:space="preserve"> </w:t>
      </w:r>
      <w:r>
        <w:t xml:space="preserve">software, firmware, and proprietary technology remain the exclusive property of Actor Global Technologies GmbH. The buyer is granted a perpetual, non-transferable license to operate the</w:t>
      </w:r>
      <w:r>
        <w:t xml:space="preserve"> </w:t>
      </w:r>
      <w:r>
        <w:t xml:space="preserve">Actor</w:t>
      </w:r>
      <w:r>
        <w:t xml:space="preserve"> </w:t>
      </w:r>
      <w:r>
        <w:t xml:space="preserve">system solely at the designated venue in</w:t>
      </w:r>
      <w:r>
        <w:t xml:space="preserve"> </w:t>
      </w:r>
      <w:r>
        <w:t xml:space="preserve">Saudi Arabia Jeddah</w:t>
      </w:r>
      <w:r>
        <w:t xml:space="preserve">.</w:t>
      </w:r>
    </w:p>
    <w:bookmarkEnd w:id="27"/>
    <w:bookmarkStart w:id="28" w:name="governing-law-dispute-resolution"/>
    <w:p>
      <w:pPr>
        <w:pStyle w:val="Heading2"/>
      </w:pPr>
      <w:r>
        <w:t xml:space="preserve">8. Governing Law &amp; Dispute Resolution</w:t>
      </w:r>
    </w:p>
    <w:p>
      <w:pPr>
        <w:pStyle w:val="FirstParagraph"/>
      </w:pPr>
      <w:r>
        <w:t xml:space="preserve">This</w:t>
      </w:r>
      <w:r>
        <w:t xml:space="preserve"> </w:t>
      </w:r>
      <w:r>
        <w:t xml:space="preserve">Purchase Order</w:t>
      </w:r>
      <w:r>
        <w:t xml:space="preserve"> </w:t>
      </w:r>
      <w:r>
        <w:t xml:space="preserve">shall be governed by and construed in accordance with the laws of the Kingdom of Saudi Arabia. Any disputes arising from or in connection with the supply, installation, or operation of the</w:t>
      </w:r>
      <w:r>
        <w:t xml:space="preserve"> </w:t>
      </w:r>
      <w:r>
        <w:t xml:space="preserve">Actor</w:t>
      </w:r>
      <w:r>
        <w:t xml:space="preserve"> </w:t>
      </w:r>
      <w:r>
        <w:t xml:space="preserve">system shall be resolved through amicable negotiation. Failing resolution within 30 days, the matter shall be referred to the Saudi Center for Commercial Arbitration (SCCA) in Jeddah, and the award shall be final and binding upon both parties.</w:t>
      </w:r>
    </w:p>
    <w:bookmarkEnd w:id="28"/>
    <w:bookmarkStart w:id="29" w:name="acceptance-authorization"/>
    <w:p>
      <w:pPr>
        <w:pStyle w:val="Heading2"/>
      </w:pPr>
      <w:r>
        <w:t xml:space="preserve">9. Acceptance &amp;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w:t>
      </w:r>
      <w:r>
        <w:t xml:space="preserve"> </w:t>
      </w:r>
      <w:r>
        <w:t xml:space="preserve">Actor</w:t>
      </w:r>
      <w:r>
        <w:t xml:space="preserve"> </w:t>
      </w:r>
      <w:r>
        <w:t xml:space="preserve">Professional Performance and Production System, to be installed and operated in</w:t>
      </w:r>
      <w:r>
        <w:t xml:space="preserve"> </w:t>
      </w:r>
      <w:r>
        <w:t xml:space="preserve">Saudi Arabia Jeddah</w:t>
      </w:r>
      <w:r>
        <w:t xml:space="preserve">. This document constitutes a binding commercial agreement upon execution by both authorized signatories.</w:t>
      </w:r>
    </w:p>
    <w:bookmarkEnd w:id="29"/>
    <w:p>
      <w:pPr>
        <w:pStyle w:val="BodyText"/>
      </w:pPr>
      <w:r>
        <w:rPr>
          <w:bCs/>
          <w:b/>
        </w:rPr>
        <w:t xml:space="preserve">For and on behalf of the Buyer:</w:t>
      </w:r>
    </w:p>
    <w:p>
      <w:pPr>
        <w:pStyle w:val="BodyText"/>
      </w:pPr>
      <w:r>
        <w:t xml:space="preserve">Al-Nakheel Entertainment &amp; Production Co. Ltd.</w:t>
      </w:r>
      <w:r>
        <w:br/>
      </w:r>
      <w:r>
        <w:t xml:space="preserve">Jeddah, Saudi Arabia</w:t>
      </w:r>
    </w:p>
    <w:p>
      <w:pPr>
        <w:pStyle w:val="BodyText"/>
      </w:pPr>
      <w:r>
        <w:t xml:space="preserve">Name: Eng. Khalid Al-Otaibi</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Actor Global Technologies GmbH</w:t>
      </w:r>
      <w:r>
        <w:br/>
      </w:r>
      <w:r>
        <w:t xml:space="preserve">Munich, Germany</w:t>
      </w:r>
    </w:p>
    <w:p>
      <w:pPr>
        <w:pStyle w:val="BodyText"/>
      </w:pPr>
      <w:r>
        <w:t xml:space="preserve">Name: Ms. Ingrid Weber</w:t>
      </w:r>
      <w:r>
        <w:br/>
      </w:r>
      <w:r>
        <w:t xml:space="preserve">Title: Regional Sales Manager – Middle East</w:t>
      </w:r>
      <w:r>
        <w:br/>
      </w:r>
      <w:r>
        <w:t xml:space="preserve">Signature: _________________________</w:t>
      </w:r>
      <w:r>
        <w:br/>
      </w:r>
      <w:r>
        <w:t xml:space="preserve">Date: _________________________</w:t>
      </w:r>
    </w:p>
    <w:p>
      <w:pPr>
        <w:pStyle w:val="BodyText"/>
      </w:pPr>
      <w:r>
        <w:t xml:space="preserve">Purchase Order No. PO-JED-2025-04871 — Al-Nakheel Entertainment &amp; Production Co. Ltd., Jeddah, Saudi Arabia</w:t>
      </w:r>
      <w:r>
        <w:br/>
      </w:r>
      <w:r>
        <w:t xml:space="preserve">This document is confidential and intended solely for the named parties. Unauthorized reproduction or distribution is prohibited.</w:t>
      </w:r>
      <w:r>
        <w:br/>
      </w:r>
      <w:r>
        <w:t xml:space="preserve">© 2025 Al-Nakheel Entertainment &amp; Production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Systems - Saudi Arabia Jeddah</dc:title>
  <dc:creator/>
  <dc:language>en</dc:language>
  <cp:keywords/>
  <dcterms:created xsi:type="dcterms:W3CDTF">2026-10-10T01:06:18Z</dcterms:created>
  <dcterms:modified xsi:type="dcterms:W3CDTF">2026-10-10T01:06:18Z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