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Actor Services &amp; Production Engagement — United Arab Emirates Dubai</w:t>
      </w:r>
    </w:p>
    <w:p>
      <w:pPr>
        <w:pStyle w:val="BodyText"/>
      </w:pPr>
      <w:r>
        <w:t xml:space="preserve">PO No: UAE-DXB-2025-04782</w:t>
      </w:r>
    </w:p>
    <w:bookmarkEnd w:id="20"/>
    <w:bookmarkStart w:id="21" w:name="purchasing-entity"/>
    <w:p>
      <w:pPr>
        <w:pStyle w:val="Heading3"/>
      </w:pPr>
      <w:r>
        <w:t xml:space="preserve">Purchasing Entity</w:t>
      </w:r>
    </w:p>
    <w:p>
      <w:pPr>
        <w:pStyle w:val="FirstParagraph"/>
      </w:pPr>
      <w:r>
        <w:rPr>
          <w:bCs/>
          <w:b/>
        </w:rPr>
        <w:t xml:space="preserve">Golden Falcon Productions LLC</w:t>
      </w:r>
    </w:p>
    <w:p>
      <w:pPr>
        <w:pStyle w:val="BodyText"/>
      </w:pPr>
      <w:r>
        <w:t xml:space="preserve">Office 1204, Level 12, Burj Khalifa</w:t>
      </w:r>
    </w:p>
    <w:p>
      <w:pPr>
        <w:pStyle w:val="BodyText"/>
      </w:pPr>
      <w:r>
        <w:t xml:space="preserve">Downtown Dubai, United Arab Emirates</w:t>
      </w:r>
    </w:p>
    <w:p>
      <w:pPr>
        <w:pStyle w:val="BodyText"/>
      </w:pPr>
      <w:r>
        <w:t xml:space="preserve">Tax Reg. No: TRN-100456789012345</w:t>
      </w:r>
    </w:p>
    <w:p>
      <w:pPr>
        <w:pStyle w:val="BodyText"/>
      </w:pPr>
      <w:r>
        <w:t xml:space="preserve">Contact: procurement@goldenfalcon.ae</w:t>
      </w:r>
    </w:p>
    <w:bookmarkEnd w:id="21"/>
    <w:bookmarkStart w:id="22" w:name="supplier-service-provider"/>
    <w:p>
      <w:pPr>
        <w:pStyle w:val="Heading3"/>
      </w:pPr>
      <w:r>
        <w:t xml:space="preserve">Supplier / Service Provider</w:t>
      </w:r>
    </w:p>
    <w:p>
      <w:pPr>
        <w:pStyle w:val="FirstParagraph"/>
      </w:pPr>
      <w:r>
        <w:rPr>
          <w:bCs/>
          <w:b/>
        </w:rPr>
        <w:t xml:space="preserve">Starlight Talent Agency FZE</w:t>
      </w:r>
    </w:p>
    <w:p>
      <w:pPr>
        <w:pStyle w:val="BodyText"/>
      </w:pPr>
      <w:r>
        <w:t xml:space="preserve">Unit 7, DIFC Gate Village 3</w:t>
      </w:r>
    </w:p>
    <w:p>
      <w:pPr>
        <w:pStyle w:val="BodyText"/>
      </w:pPr>
      <w:r>
        <w:t xml:space="preserve">Dubai Financial Centre, United Arab Emirates</w:t>
      </w:r>
    </w:p>
    <w:p>
      <w:pPr>
        <w:pStyle w:val="BodyText"/>
      </w:pPr>
      <w:r>
        <w:t xml:space="preserve">Tax Reg. No: TRN-100987654321098</w:t>
      </w:r>
    </w:p>
    <w:p>
      <w:pPr>
        <w:pStyle w:val="BodyText"/>
      </w:pPr>
      <w:r>
        <w:t xml:space="preserve">Contact: bookings@starlighttalent.ae</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15 June 2025</w:t>
      </w:r>
    </w:p>
    <w:p>
      <w:pPr>
        <w:pStyle w:val="BodyText"/>
      </w:pPr>
      <w:r>
        <w:rPr>
          <w:bCs/>
          <w:b/>
        </w:rPr>
        <w:t xml:space="preserve">Delivery Date:</w:t>
      </w:r>
      <w:r>
        <w:t xml:space="preserve"> </w:t>
      </w:r>
      <w:r>
        <w:t xml:space="preserve">01 August 2025</w:t>
      </w:r>
    </w:p>
    <w:p>
      <w:pPr>
        <w:pStyle w:val="BodyText"/>
      </w:pPr>
      <w:r>
        <w:rPr>
          <w:bCs/>
          <w:b/>
        </w:rPr>
        <w:t xml:space="preserve">Project:</w:t>
      </w:r>
      <w:r>
        <w:t xml:space="preserve"> </w:t>
      </w:r>
      <w:r>
        <w:t xml:space="preserve">"Desert Horizons" Feature Film</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AED (UAE Dirham)</w:t>
      </w:r>
    </w:p>
    <w:bookmarkEnd w:id="23"/>
    <w:bookmarkStart w:id="24" w:name="scope-of-purchase-order"/>
    <w:p>
      <w:pPr>
        <w:pStyle w:val="Heading2"/>
      </w:pPr>
      <w:r>
        <w:t xml:space="preserve">1. Scope of Purchase Order</w:t>
      </w:r>
    </w:p>
    <w:p>
      <w:pPr>
        <w:pStyle w:val="FirstParagraph"/>
      </w:pPr>
      <w:r>
        <w:t xml:space="preserve">This Purchase Order is issued by Golden Falcon Productions LLC, a duly registered entertainment production company operating in United Arab Emirates Dubai, to Starlight Talent Agency FZE for the procurement of professional Actor services. The engagement covers the casting, scheduling, and on-set performance of one (1) lead Actor and three (3) supporting Actors for the feature film production titled</w:t>
      </w:r>
      <w:r>
        <w:t xml:space="preserve"> </w:t>
      </w:r>
      <w:r>
        <w:rPr>
          <w:iCs/>
          <w:i/>
        </w:rPr>
        <w:t xml:space="preserve">"Desert Horizons"</w:t>
      </w:r>
      <w:r>
        <w:t xml:space="preserve">, to be filmed across multiple locations in United Arab Emirates Dubai including the Palm Jumeirah, the Dubai Marina waterfront, and the historic Al Fahidi District.</w:t>
      </w:r>
    </w:p>
    <w:bookmarkEnd w:id="24"/>
    <w:bookmarkStart w:id="25"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Actor Role</w:t>
            </w:r>
          </w:p>
        </w:tc>
        <w:tc>
          <w:tcPr/>
          <w:p>
            <w:pPr>
              <w:pStyle w:val="Compact"/>
              <w:jc w:val="left"/>
            </w:pPr>
            <w:r>
              <w:t xml:space="preserve">Duration</w:t>
            </w:r>
          </w:p>
        </w:tc>
        <w:tc>
          <w:tcPr/>
          <w:p>
            <w:pPr>
              <w:pStyle w:val="Compact"/>
              <w:jc w:val="left"/>
            </w:pPr>
            <w:r>
              <w:t xml:space="preserve">Unit Rate (AED)</w:t>
            </w:r>
          </w:p>
        </w:tc>
        <w:tc>
          <w:tcPr/>
          <w:p>
            <w:pPr>
              <w:pStyle w:val="Compact"/>
              <w:jc w:val="left"/>
            </w:pPr>
            <w:r>
              <w:t xml:space="preserve">Quantity</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Lead Actor — Principal Performance</w:t>
            </w:r>
          </w:p>
        </w:tc>
        <w:tc>
          <w:tcPr/>
          <w:p>
            <w:pPr>
              <w:pStyle w:val="Compact"/>
              <w:jc w:val="left"/>
            </w:pPr>
            <w:r>
              <w:t xml:space="preserve">Lead / Protagonist</w:t>
            </w:r>
          </w:p>
        </w:tc>
        <w:tc>
          <w:tcPr/>
          <w:p>
            <w:pPr>
              <w:pStyle w:val="Compact"/>
              <w:jc w:val="left"/>
            </w:pPr>
            <w:r>
              <w:t xml:space="preserve">45 shooting days</w:t>
            </w:r>
          </w:p>
        </w:tc>
        <w:tc>
          <w:tcPr/>
          <w:p>
            <w:pPr>
              <w:pStyle w:val="Compact"/>
              <w:jc w:val="left"/>
            </w:pPr>
            <w:r>
              <w:t xml:space="preserve">25,000</w:t>
            </w:r>
          </w:p>
        </w:tc>
        <w:tc>
          <w:tcPr/>
          <w:p>
            <w:pPr>
              <w:pStyle w:val="Compact"/>
              <w:jc w:val="left"/>
            </w:pPr>
            <w:r>
              <w:t xml:space="preserve">1</w:t>
            </w:r>
          </w:p>
        </w:tc>
        <w:tc>
          <w:tcPr/>
          <w:p>
            <w:pPr>
              <w:pStyle w:val="Compact"/>
              <w:jc w:val="left"/>
            </w:pPr>
            <w:r>
              <w:t xml:space="preserve">1,125,000</w:t>
            </w:r>
          </w:p>
        </w:tc>
      </w:tr>
      <w:tr>
        <w:tc>
          <w:tcPr/>
          <w:p>
            <w:pPr>
              <w:pStyle w:val="Compact"/>
              <w:jc w:val="left"/>
            </w:pPr>
            <w:r>
              <w:t xml:space="preserve">02</w:t>
            </w:r>
          </w:p>
        </w:tc>
        <w:tc>
          <w:tcPr/>
          <w:p>
            <w:pPr>
              <w:pStyle w:val="Compact"/>
              <w:jc w:val="left"/>
            </w:pPr>
            <w:r>
              <w:t xml:space="preserve">Supporting Actor — Secondary Role A</w:t>
            </w:r>
          </w:p>
        </w:tc>
        <w:tc>
          <w:tcPr/>
          <w:p>
            <w:pPr>
              <w:pStyle w:val="Compact"/>
              <w:jc w:val="left"/>
            </w:pPr>
            <w:r>
              <w:t xml:space="preserve">Supporting</w:t>
            </w:r>
          </w:p>
        </w:tc>
        <w:tc>
          <w:tcPr/>
          <w:p>
            <w:pPr>
              <w:pStyle w:val="Compact"/>
              <w:jc w:val="left"/>
            </w:pPr>
            <w:r>
              <w:t xml:space="preserve">28 shooting days</w:t>
            </w:r>
          </w:p>
        </w:tc>
        <w:tc>
          <w:tcPr/>
          <w:p>
            <w:pPr>
              <w:pStyle w:val="Compact"/>
              <w:jc w:val="left"/>
            </w:pPr>
            <w:r>
              <w:t xml:space="preserve">12,000</w:t>
            </w:r>
          </w:p>
        </w:tc>
        <w:tc>
          <w:tcPr/>
          <w:p>
            <w:pPr>
              <w:pStyle w:val="Compact"/>
              <w:jc w:val="left"/>
            </w:pPr>
            <w:r>
              <w:t xml:space="preserve">1</w:t>
            </w:r>
          </w:p>
        </w:tc>
        <w:tc>
          <w:tcPr/>
          <w:p>
            <w:pPr>
              <w:pStyle w:val="Compact"/>
              <w:jc w:val="left"/>
            </w:pPr>
            <w:r>
              <w:t xml:space="preserve">336,000</w:t>
            </w:r>
          </w:p>
        </w:tc>
      </w:tr>
      <w:tr>
        <w:tc>
          <w:tcPr/>
          <w:p>
            <w:pPr>
              <w:pStyle w:val="Compact"/>
              <w:jc w:val="left"/>
            </w:pPr>
            <w:r>
              <w:t xml:space="preserve">03</w:t>
            </w:r>
          </w:p>
        </w:tc>
        <w:tc>
          <w:tcPr/>
          <w:p>
            <w:pPr>
              <w:pStyle w:val="Compact"/>
              <w:jc w:val="left"/>
            </w:pPr>
            <w:r>
              <w:t xml:space="preserve">Supporting Actor — Secondary Role B</w:t>
            </w:r>
          </w:p>
        </w:tc>
        <w:tc>
          <w:tcPr/>
          <w:p>
            <w:pPr>
              <w:pStyle w:val="Compact"/>
              <w:jc w:val="left"/>
            </w:pPr>
            <w:r>
              <w:t xml:space="preserve">Supporting</w:t>
            </w:r>
          </w:p>
        </w:tc>
        <w:tc>
          <w:tcPr/>
          <w:p>
            <w:pPr>
              <w:pStyle w:val="Compact"/>
              <w:jc w:val="left"/>
            </w:pPr>
            <w:r>
              <w:t xml:space="preserve">22 shooting days</w:t>
            </w:r>
          </w:p>
        </w:tc>
        <w:tc>
          <w:tcPr/>
          <w:p>
            <w:pPr>
              <w:pStyle w:val="Compact"/>
              <w:jc w:val="left"/>
            </w:pPr>
            <w:r>
              <w:t xml:space="preserve">12,000</w:t>
            </w:r>
          </w:p>
        </w:tc>
        <w:tc>
          <w:tcPr/>
          <w:p>
            <w:pPr>
              <w:pStyle w:val="Compact"/>
              <w:jc w:val="left"/>
            </w:pPr>
            <w:r>
              <w:t xml:space="preserve">1</w:t>
            </w:r>
          </w:p>
        </w:tc>
        <w:tc>
          <w:tcPr/>
          <w:p>
            <w:pPr>
              <w:pStyle w:val="Compact"/>
              <w:jc w:val="left"/>
            </w:pPr>
            <w:r>
              <w:t xml:space="preserve">264,000</w:t>
            </w:r>
          </w:p>
        </w:tc>
      </w:tr>
      <w:tr>
        <w:tc>
          <w:tcPr/>
          <w:p>
            <w:pPr>
              <w:pStyle w:val="Compact"/>
              <w:jc w:val="left"/>
            </w:pPr>
            <w:r>
              <w:t xml:space="preserve">04</w:t>
            </w:r>
          </w:p>
        </w:tc>
        <w:tc>
          <w:tcPr/>
          <w:p>
            <w:pPr>
              <w:pStyle w:val="Compact"/>
              <w:jc w:val="left"/>
            </w:pPr>
            <w:r>
              <w:t xml:space="preserve">Supporting Actor — Tertiary Role</w:t>
            </w:r>
          </w:p>
        </w:tc>
        <w:tc>
          <w:tcPr/>
          <w:p>
            <w:pPr>
              <w:pStyle w:val="Compact"/>
              <w:jc w:val="left"/>
            </w:pPr>
            <w:r>
              <w:t xml:space="preserve">Supporting</w:t>
            </w:r>
          </w:p>
        </w:tc>
        <w:tc>
          <w:tcPr/>
          <w:p>
            <w:pPr>
              <w:pStyle w:val="Compact"/>
              <w:jc w:val="left"/>
            </w:pPr>
            <w:r>
              <w:t xml:space="preserve">15 shooting days</w:t>
            </w:r>
          </w:p>
        </w:tc>
        <w:tc>
          <w:tcPr/>
          <w:p>
            <w:pPr>
              <w:pStyle w:val="Compact"/>
              <w:jc w:val="left"/>
            </w:pPr>
            <w:r>
              <w:t xml:space="preserve">10,000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Actor Wardrobe &amp; Costume Fitting (All Cast)</w:t>
            </w:r>
          </w:p>
        </w:tc>
        <w:tc>
          <w:tcPr/>
          <w:p>
            <w:pPr>
              <w:pStyle w:val="Compact"/>
              <w:jc w:val="left"/>
            </w:pPr>
            <w:r>
              <w:t xml:space="preserve">All Actors</w:t>
            </w:r>
          </w:p>
        </w:tc>
        <w:tc>
          <w:tcPr/>
          <w:p>
            <w:pPr>
              <w:pStyle w:val="Compact"/>
              <w:jc w:val="left"/>
            </w:pPr>
            <w:r>
              <w:t xml:space="preserve">Per production</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Actor Accommodation &amp; Per Diem (Dubai)</w:t>
            </w:r>
          </w:p>
        </w:tc>
        <w:tc>
          <w:tcPr/>
          <w:p>
            <w:pPr>
              <w:pStyle w:val="Compact"/>
              <w:jc w:val="left"/>
            </w:pPr>
            <w:r>
              <w:t xml:space="preserve">All Actors</w:t>
            </w:r>
          </w:p>
        </w:tc>
        <w:tc>
          <w:tcPr/>
          <w:p>
            <w:pPr>
              <w:pStyle w:val="Compact"/>
              <w:jc w:val="left"/>
            </w:pPr>
            <w:r>
              <w:t xml:space="preserve">60 days</w:t>
            </w:r>
          </w:p>
        </w:tc>
        <w:tc>
          <w:tcPr/>
          <w:p>
            <w:pPr>
              <w:pStyle w:val="Compact"/>
              <w:jc w:val="left"/>
            </w:pPr>
            <w:r>
              <w:t xml:space="preserve">8,500</w:t>
            </w:r>
          </w:p>
        </w:tc>
        <w:tc>
          <w:tcPr/>
          <w:p>
            <w:pPr>
              <w:pStyle w:val="Compact"/>
              <w:jc w:val="left"/>
            </w:pPr>
            <w:r>
              <w:t xml:space="preserve">1</w:t>
            </w:r>
          </w:p>
        </w:tc>
        <w:tc>
          <w:tcPr/>
          <w:p>
            <w:pPr>
              <w:pStyle w:val="Compact"/>
              <w:jc w:val="left"/>
            </w:pPr>
            <w:r>
              <w:t xml:space="preserve">510,000</w:t>
            </w:r>
          </w:p>
        </w:tc>
      </w:tr>
      <w:tr>
        <w:tc>
          <w:tcPr/>
          <w:p>
            <w:pPr>
              <w:pStyle w:val="Compact"/>
              <w:jc w:val="left"/>
            </w:pPr>
            <w:r>
              <w:t xml:space="preserve">07</w:t>
            </w:r>
          </w:p>
        </w:tc>
        <w:tc>
          <w:tcPr/>
          <w:p>
            <w:pPr>
              <w:pStyle w:val="Compact"/>
              <w:jc w:val="left"/>
            </w:pPr>
            <w:r>
              <w:t xml:space="preserve">Actor Visa &amp; Work Permit Processing (UAE)</w:t>
            </w:r>
          </w:p>
        </w:tc>
        <w:tc>
          <w:tcPr/>
          <w:p>
            <w:pPr>
              <w:pStyle w:val="Compact"/>
              <w:jc w:val="left"/>
            </w:pPr>
            <w:r>
              <w:t xml:space="preserve">All Actors</w:t>
            </w:r>
          </w:p>
        </w:tc>
        <w:tc>
          <w:tcPr/>
          <w:p>
            <w:pPr>
              <w:pStyle w:val="Compact"/>
              <w:jc w:val="left"/>
            </w:pPr>
            <w:r>
              <w:t xml:space="preserve">Per production</w:t>
            </w:r>
          </w:p>
        </w:tc>
        <w:tc>
          <w:tcPr/>
          <w:p>
            <w:pPr>
              <w:pStyle w:val="Compact"/>
              <w:jc w:val="left"/>
            </w:pPr>
            <w:r>
              <w:t xml:space="preserve">6,500</w:t>
            </w:r>
          </w:p>
        </w:tc>
        <w:tc>
          <w:tcPr/>
          <w:p>
            <w:pPr>
              <w:pStyle w:val="Compact"/>
              <w:jc w:val="left"/>
            </w:pPr>
            <w:r>
              <w:t xml:space="preserve">4</w:t>
            </w:r>
          </w:p>
        </w:tc>
        <w:tc>
          <w:tcPr/>
          <w:p>
            <w:pPr>
              <w:pStyle w:val="Compact"/>
              <w:jc w:val="left"/>
            </w:pPr>
            <w:r>
              <w:t xml:space="preserve">26,000</w:t>
            </w:r>
          </w:p>
        </w:tc>
      </w:tr>
      <w:tr>
        <w:tc>
          <w:tcPr/>
          <w:p>
            <w:pPr>
              <w:pStyle w:val="Compact"/>
              <w:jc w:val="left"/>
            </w:pPr>
            <w:r>
              <w:t xml:space="preserve">08</w:t>
            </w:r>
          </w:p>
        </w:tc>
        <w:tc>
          <w:tcPr/>
          <w:p>
            <w:pPr>
              <w:pStyle w:val="Compact"/>
              <w:jc w:val="left"/>
            </w:pPr>
            <w:r>
              <w:t xml:space="preserve">On-Set Actor Insurance &amp; Medical Coverage</w:t>
            </w:r>
          </w:p>
        </w:tc>
        <w:tc>
          <w:tcPr/>
          <w:p>
            <w:pPr>
              <w:pStyle w:val="Compact"/>
              <w:jc w:val="left"/>
            </w:pPr>
            <w:r>
              <w:t xml:space="preserve">All Actors</w:t>
            </w:r>
          </w:p>
        </w:tc>
        <w:tc>
          <w:tcPr/>
          <w:p>
            <w:pPr>
              <w:pStyle w:val="Compact"/>
              <w:jc w:val="left"/>
            </w:pPr>
            <w:r>
              <w:t xml:space="preserve">60 days</w:t>
            </w:r>
          </w:p>
        </w:tc>
        <w:tc>
          <w:tcPr/>
          <w:p>
            <w:pPr>
              <w:pStyle w:val="Compact"/>
              <w:jc w:val="left"/>
            </w:pPr>
            <w:r>
              <w:t xml:space="preserve">3,200</w:t>
            </w:r>
          </w:p>
        </w:tc>
        <w:tc>
          <w:tcPr/>
          <w:p>
            <w:pPr>
              <w:pStyle w:val="Compact"/>
              <w:jc w:val="left"/>
            </w:pPr>
            <w:r>
              <w:t xml:space="preserve">4</w:t>
            </w:r>
          </w:p>
        </w:tc>
        <w:tc>
          <w:tcPr/>
          <w:p>
            <w:pPr>
              <w:pStyle w:val="Compact"/>
              <w:jc w:val="left"/>
            </w:pPr>
            <w:r>
              <w:t xml:space="preserve">12,800</w:t>
            </w:r>
          </w:p>
        </w:tc>
      </w:tr>
      <w:tr>
        <w:tc>
          <w:tcPr>
            <w:gridSpan w:val="6"/>
          </w:tcPr>
          <w:p>
            <w:pPr>
              <w:pStyle w:val="Compact"/>
              <w:jc w:val="left"/>
            </w:pPr>
            <w:r>
              <w:t xml:space="preserve">TOTAL PURCHASE ORDER VALUE (AED)</w:t>
            </w:r>
          </w:p>
        </w:tc>
        <w:tc>
          <w:tcPr/>
          <w:p>
            <w:pPr>
              <w:pStyle w:val="Compact"/>
              <w:jc w:val="left"/>
            </w:pPr>
            <w:r>
              <w:t xml:space="preserve">2,468,800</w:t>
            </w:r>
          </w:p>
        </w:tc>
      </w:tr>
    </w:tbl>
    <w:bookmarkEnd w:id="25"/>
    <w:bookmarkStart w:id="26"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specifically the commercial regulations applicable in Dubai. Any disputes arising from this Purchase Order regarding the Actor engagement shall be resolved through the Dubai International Financial Centre (DIFC) Courts or, at the Purchasing Entity's discretion, through arbitration under the DIFC-LCIA Arbitration Rules.</w:t>
      </w:r>
    </w:p>
    <w:p>
      <w:pPr>
        <w:numPr>
          <w:ilvl w:val="0"/>
          <w:numId w:val="1001"/>
        </w:numPr>
        <w:pStyle w:val="Compact"/>
      </w:pPr>
      <w:r>
        <w:rPr>
          <w:bCs/>
          <w:b/>
        </w:rPr>
        <w:t xml:space="preserve">Actor Availability &amp; Exclusivity:</w:t>
      </w:r>
      <w:r>
        <w:t xml:space="preserve"> </w:t>
      </w:r>
      <w:r>
        <w:t xml:space="preserve">The Supplier guarantees that each Actor named in this Purchase Order shall be exclusively available for the "Desert Horizons" production for the full duration specified. No Actor shall be simultaneously contracted for any other production, commercial, or public appearance in United Arab Emirates Dubai or internationally during the engagement period without prior written consent from Golden Falcon Productions LLC.</w:t>
      </w:r>
    </w:p>
    <w:p>
      <w:pPr>
        <w:numPr>
          <w:ilvl w:val="0"/>
          <w:numId w:val="1001"/>
        </w:numPr>
        <w:pStyle w:val="Compact"/>
      </w:pPr>
      <w:r>
        <w:rPr>
          <w:bCs/>
          <w:b/>
        </w:rPr>
        <w:t xml:space="preserve">Payment Schedule:</w:t>
      </w:r>
      <w:r>
        <w:t xml:space="preserve"> </w:t>
      </w:r>
      <w:r>
        <w:t xml:space="preserve">Payment for this Purchase Order shall be made in three (3) installments: 40% upon execution of this Purchase Order, 40% upon completion of principal photography, and 20% upon final delivery of all post-production Actor obligations including voice-over sessions and promotional appearances in Dubai.</w:t>
      </w:r>
    </w:p>
    <w:p>
      <w:pPr>
        <w:numPr>
          <w:ilvl w:val="0"/>
          <w:numId w:val="1001"/>
        </w:numPr>
        <w:pStyle w:val="Compact"/>
      </w:pPr>
      <w:r>
        <w:rPr>
          <w:bCs/>
          <w:b/>
        </w:rPr>
        <w:t xml:space="preserve">Compliance with UAE Regulations:</w:t>
      </w:r>
      <w:r>
        <w:t xml:space="preserve"> </w:t>
      </w:r>
      <w:r>
        <w:t xml:space="preserve">All Actor performances, costumes, and on-set activities must comply with the cultural and legal standards of the United Arab Emirates. The Supplier is responsible for ensuring that each Actor holds valid UAE work permits and that all content adheres to the National Media Council guidelines in force in Dubai.</w:t>
      </w:r>
    </w:p>
    <w:p>
      <w:pPr>
        <w:numPr>
          <w:ilvl w:val="0"/>
          <w:numId w:val="1001"/>
        </w:numPr>
        <w:pStyle w:val="Compact"/>
      </w:pPr>
      <w:r>
        <w:rPr>
          <w:bCs/>
          <w:b/>
        </w:rPr>
        <w:t xml:space="preserve">Force Majeure:</w:t>
      </w:r>
      <w:r>
        <w:t xml:space="preserve"> </w:t>
      </w:r>
      <w:r>
        <w:t xml:space="preserve">Neither party shall be liable for delays or failures in performance under this Purchase Order caused by events beyond reasonable control, including but not limited to government-mandated shutdowns in United Arab Emirates Dubai, natural disasters, or pandemics. Affected parties must notify the other within 48 hours of the occurrence.</w:t>
      </w:r>
    </w:p>
    <w:p>
      <w:pPr>
        <w:numPr>
          <w:ilvl w:val="0"/>
          <w:numId w:val="1001"/>
        </w:numPr>
        <w:pStyle w:val="Compact"/>
      </w:pPr>
      <w:r>
        <w:rPr>
          <w:bCs/>
          <w:b/>
        </w:rPr>
        <w:t xml:space="preserve">Confidentiality:</w:t>
      </w:r>
      <w:r>
        <w:t xml:space="preserve"> </w:t>
      </w:r>
      <w:r>
        <w:t xml:space="preserve">All terms of this Purchase Order, including Actor compensation, creative direction, and production schedules, are strictly confidential. The Supplier and all Actors engaged under this Purchase Order shall execute individual Non-Disclosure Agreements prior to commencing work in Dubai.</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Purchasing Entity shall compensate the Supplier for all Actor services rendered up to the termination date, plus a 15% cancellation fee on the remaining contract value.</w:t>
      </w:r>
    </w:p>
    <w:p>
      <w:pPr>
        <w:numPr>
          <w:ilvl w:val="0"/>
          <w:numId w:val="1001"/>
        </w:numPr>
        <w:pStyle w:val="Compact"/>
      </w:pPr>
      <w:r>
        <w:rPr>
          <w:bCs/>
          <w:b/>
        </w:rPr>
        <w:t xml:space="preserve">Intellectual Property:</w:t>
      </w:r>
      <w:r>
        <w:t xml:space="preserve"> </w:t>
      </w:r>
      <w:r>
        <w:t xml:space="preserve">All performances, recordings, and visual materials captured during the Actor engagement under this Purchase Order shall be the exclusive property of Golden Falcon Productions LLC. The Supplier and Actors grant an irrevocable, worldwide, perpetual license for use in all media formats.</w:t>
      </w:r>
    </w:p>
    <w:bookmarkEnd w:id="26"/>
    <w:bookmarkStart w:id="27" w:name="acceptance-and-authorization"/>
    <w:p>
      <w:pPr>
        <w:pStyle w:val="Heading2"/>
      </w:pPr>
      <w:r>
        <w:t xml:space="preserve">4. Acceptance and Authorization</w:t>
      </w:r>
    </w:p>
    <w:p>
      <w:pPr>
        <w:pStyle w:val="FirstParagraph"/>
      </w:pPr>
      <w:r>
        <w:t xml:space="preserve">By signing below, both parties acknowledge and agree to all terms, conditions, and obligations set forth in this Purchase Order for the Actor services to be delivered in United Arab Emirates Dubai. This document constitutes a binding commercial agreement effective from the date of the last signature.</w:t>
      </w:r>
    </w:p>
    <w:p>
      <w:pPr>
        <w:pStyle w:val="BodyText"/>
      </w:pPr>
      <w:r>
        <w:rPr>
          <w:bCs/>
          <w:b/>
        </w:rPr>
        <w:t xml:space="preserve">For: Golden Falcon Productions LLC</w:t>
      </w:r>
    </w:p>
    <w:p>
      <w:pPr>
        <w:pStyle w:val="BodyText"/>
      </w:pPr>
      <w:r>
        <w:t xml:space="preserve">Name: Ahmed Al Mansoori</w:t>
      </w:r>
    </w:p>
    <w:p>
      <w:pPr>
        <w:pStyle w:val="BodyText"/>
      </w:pPr>
      <w:r>
        <w:t xml:space="preserve">Title: Chief Production Officer</w:t>
      </w:r>
    </w:p>
    <w:p>
      <w:pPr>
        <w:pStyle w:val="BodyText"/>
      </w:pPr>
      <w:r>
        <w:t xml:space="preserve">Date: _______________</w:t>
      </w:r>
    </w:p>
    <w:p>
      <w:pPr>
        <w:pStyle w:val="BodyText"/>
      </w:pPr>
      <w:r>
        <w:t xml:space="preserve">Signature: _______________</w:t>
      </w:r>
    </w:p>
    <w:p>
      <w:pPr>
        <w:pStyle w:val="BodyText"/>
      </w:pPr>
      <w:r>
        <w:rPr>
          <w:bCs/>
          <w:b/>
        </w:rPr>
        <w:t xml:space="preserve">For: Starlight Talent Agency FZE</w:t>
      </w:r>
    </w:p>
    <w:p>
      <w:pPr>
        <w:pStyle w:val="BodyText"/>
      </w:pPr>
      <w:r>
        <w:t xml:space="preserve">Name: Sarah Mitchell</w:t>
      </w:r>
    </w:p>
    <w:p>
      <w:pPr>
        <w:pStyle w:val="BodyText"/>
      </w:pPr>
      <w:r>
        <w:t xml:space="preserve">Title: Managing Director</w:t>
      </w:r>
    </w:p>
    <w:p>
      <w:pPr>
        <w:pStyle w:val="BodyText"/>
      </w:pPr>
      <w:r>
        <w:t xml:space="preserve">Date: _______________</w:t>
      </w:r>
    </w:p>
    <w:p>
      <w:pPr>
        <w:pStyle w:val="BodyText"/>
      </w:pPr>
      <w:r>
        <w:t xml:space="preserve">Signature: _______________</w:t>
      </w:r>
    </w:p>
    <w:p>
      <w:pPr>
        <w:pStyle w:val="BodyText"/>
      </w:pPr>
      <w:r>
        <w:t xml:space="preserve">This Purchase Order (No. UAE-DXB-2025-04782) is valid for 90 days from the date of issue. All communications regarding this Purchase Order, Actor engagements, and production matters in United Arab Emirates Dubai should be directed to the procurement department of Golden Falcon Productions LLC. This document is printed in duplicate; one copy for each party. © 2025 Golden Falcon Productions LLC, Dubai, United Arab Emirates.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United Arab Emirates Dubai</dc:title>
  <dc:creator/>
  <dc:language>en</dc:language>
  <cp:keywords/>
  <dcterms:created xsi:type="dcterms:W3CDTF">2026-10-10T04:41:02Z</dcterms:created>
  <dcterms:modified xsi:type="dcterms:W3CDTF">2026-10-10T04:41:02Z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