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bavaria-aerospace-systems-gmbh"/>
    <w:p>
      <w:pPr>
        <w:pStyle w:val="Heading1"/>
      </w:pPr>
      <w:r>
        <w:t xml:space="preserve">Bavaria Aerospace Systems GmbH</w:t>
      </w:r>
    </w:p>
    <w:p>
      <w:pPr>
        <w:pStyle w:val="FirstParagraph"/>
      </w:pPr>
      <w:r>
        <w:t xml:space="preserve">Industriestraße 47, 80992 Munich, Germany</w:t>
      </w:r>
    </w:p>
    <w:p>
      <w:pPr>
        <w:pStyle w:val="BodyText"/>
      </w:pPr>
      <w:r>
        <w:t xml:space="preserve">Phone: +49 89 5550 1234 | Email: procurement@bavaria-aero.de</w:t>
      </w:r>
    </w:p>
    <w:p>
      <w:pPr>
        <w:pStyle w:val="BodyText"/>
      </w:pPr>
      <w:r>
        <w:t xml:space="preserve">USt-IdNr: DE 312 456 789</w:t>
      </w:r>
    </w:p>
    <w:bookmarkEnd w:id="20"/>
    <w:bookmarkStart w:id="21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No.: BA-2025-04871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September 2025</w:t>
      </w:r>
    </w:p>
    <w:bookmarkEnd w:id="21"/>
    <w:p>
      <w:pPr>
        <w:pStyle w:val="BodyText"/>
      </w:pPr>
      <w:r>
        <w:t xml:space="preserve">Order Details</w:t>
      </w:r>
    </w:p>
    <w:p>
      <w:pPr>
        <w:pStyle w:val="BodyText"/>
      </w:pPr>
      <w:r>
        <w:rPr>
          <w:bCs/>
          <w:b/>
        </w:rPr>
        <w:t xml:space="preserve">Bill To:</w:t>
      </w:r>
    </w:p>
    <w:p>
      <w:pPr>
        <w:pStyle w:val="BodyText"/>
      </w:pPr>
      <w:r>
        <w:t xml:space="preserve">Bavaria Aerospace Systems GmbH</w:t>
      </w:r>
    </w:p>
    <w:p>
      <w:pPr>
        <w:pStyle w:val="BodyText"/>
      </w:pPr>
      <w:r>
        <w:t xml:space="preserve">Attn: Dr. Heinrich Vogel, Head of Procurement</w:t>
      </w:r>
    </w:p>
    <w:p>
      <w:pPr>
        <w:pStyle w:val="BodyText"/>
      </w:pPr>
      <w:r>
        <w:t xml:space="preserve">Industriestraße 47, 80992 Munich, Germany</w:t>
      </w:r>
    </w:p>
    <w:p>
      <w:pPr>
        <w:pStyle w:val="BodyText"/>
      </w:pPr>
      <w:r>
        <w:rPr>
          <w:bCs/>
          <w:b/>
        </w:rPr>
        <w:t xml:space="preserve">Vendor / Service Provider:</w:t>
      </w:r>
    </w:p>
    <w:p>
      <w:pPr>
        <w:pStyle w:val="BodyText"/>
      </w:pPr>
      <w:r>
        <w:t xml:space="preserve">Alpenraum Engineering Consultants UG</w:t>
      </w:r>
    </w:p>
    <w:p>
      <w:pPr>
        <w:pStyle w:val="BodyText"/>
      </w:pPr>
      <w:r>
        <w:t xml:space="preserve">Attn: Prof. Dr. Katharina Brandt, Lead Aerospace Engineer</w:t>
      </w:r>
    </w:p>
    <w:p>
      <w:pPr>
        <w:pStyle w:val="BodyText"/>
      </w:pPr>
      <w:r>
        <w:t xml:space="preserve">Ludwigstraße 112, 80539 Munich, Germany</w:t>
      </w:r>
    </w:p>
    <w:p>
      <w:pPr>
        <w:pStyle w:val="BodyText"/>
      </w:pPr>
      <w:r>
        <w:t xml:space="preserve">Scope of Work Description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Bavaria Aerospace Systems GmbH, headquartered in</w:t>
      </w:r>
      <w:r>
        <w:t xml:space="preserve"> </w:t>
      </w:r>
      <w:r>
        <w:t xml:space="preserve">Germany Munich</w:t>
      </w:r>
      <w:r>
        <w:t xml:space="preserve">, to engage the services of a qualified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for the design, analysis, and certification support of next-generation composite airframe components.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provide full-cycle engineering support in accordance with EASA Part 21 and Part 145 regulations applicable within the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metropolitan industrial corridor.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technical specifications outlined in Annex A and the quality management standards of ISO 9001:2015 as enforced by the local regulatory authority in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pStyle w:val="BodyText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Due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Structural Analysis &amp; FEA Simulation of Wing Spar Assembly (Senior Level, 2,000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Aug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Aerodynamic CFD Modelling &amp; Wind Tunnel Correlation (Mid-Level, 1,200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Sep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EASA Certification Documentation &amp; Compliance Review (Lead Engineer, 600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Nov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Software Licenses – ANSYS Mechanical &amp; OpenFOAM (Annual, 5 seats)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Material Test Coupons – Carbon Fiber / Epoxy (Batch of 200 units, tested in Munich lab)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– Aerospace Engineer at Bavaria Munich Facility (4 days, travel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Aug–Oct 2025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EUR 360,800.00</w:t>
      </w:r>
    </w:p>
    <w:p>
      <w:pPr>
        <w:pStyle w:val="BodyText"/>
      </w:pPr>
      <w:r>
        <w:t xml:space="preserve">VAT (19% – Germany):</w:t>
      </w:r>
      <w:r>
        <w:t xml:space="preserve">EUR 68,552.00</w:t>
      </w:r>
    </w:p>
    <w:p>
      <w:pPr>
        <w:pStyle w:val="BodyText"/>
      </w:pPr>
      <w:r>
        <w:t xml:space="preserve">Grand Total:</w:t>
      </w:r>
      <w:r>
        <w:t xml:space="preserve">EUR 429,352.00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Net 30 days from invoice date. Payment shall be made via SEPA bank transfer to the account specified by the vendor.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commercial laws of the Federal Republic of Germany, with jurisdiction vested in the Local Court of Munich I (Landgericht München I).</w:t>
      </w:r>
    </w:p>
    <w:p>
      <w:pPr>
        <w:pStyle w:val="BodyText"/>
      </w:pPr>
      <w:r>
        <w:rPr>
          <w:bCs/>
          <w:b/>
        </w:rPr>
        <w:t xml:space="preserve">2. Delivery &amp; Performance:</w:t>
      </w:r>
      <w:r>
        <w:t xml:space="preserve"> </w:t>
      </w:r>
      <w:r>
        <w:t xml:space="preserve">All engineering deliverables produced by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must be submitted to the Bavaria Aerospace Systems GmbH facility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no later than the dates specified in the line items above. Late delivery beyond five (5) business days entitles the buyer to a penalty of 0.5% of the affected line-item value per day of delay.</w:t>
      </w:r>
    </w:p>
    <w:p>
      <w:pPr>
        <w:pStyle w:val="BodyText"/>
      </w:pPr>
      <w:r>
        <w:rPr>
          <w:bCs/>
          <w:b/>
        </w:rPr>
        <w:t xml:space="preserve">3. Intellectual Property:</w:t>
      </w:r>
      <w:r>
        <w:t xml:space="preserve"> </w:t>
      </w:r>
      <w:r>
        <w:t xml:space="preserve">All designs, analyses, models, and documentation created by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Bavaria Aerospace Systems GmbH upon full payment.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grants a perpetual, irrevocable license for internal use within the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operations and any affiliated entities.</w:t>
      </w:r>
    </w:p>
    <w:p>
      <w:pPr>
        <w:pStyle w:val="BodyText"/>
      </w:pPr>
      <w:r>
        <w:rPr>
          <w:bCs/>
          <w:b/>
        </w:rPr>
        <w:t xml:space="preserve">4. Confidentiality:</w:t>
      </w:r>
      <w:r>
        <w:t xml:space="preserve"> </w:t>
      </w:r>
      <w:r>
        <w:t xml:space="preserve">Both parties agree to maintain strict confidentiality regarding all technical data, proprietary processes, and business information exchanged in connection with this</w:t>
      </w:r>
      <w:r>
        <w:t xml:space="preserve"> </w:t>
      </w:r>
      <w:r>
        <w:t xml:space="preserve">Purchase Order</w:t>
      </w:r>
      <w:r>
        <w:t xml:space="preserve">. This obligation survives termination for a period of five (5) years.</w:t>
      </w:r>
    </w:p>
    <w:p>
      <w:pPr>
        <w:pStyle w:val="BodyText"/>
      </w:pPr>
      <w:r>
        <w:rPr>
          <w:bCs/>
          <w:b/>
        </w:rPr>
        <w:t xml:space="preserve">5. Quality Assurance:</w:t>
      </w:r>
      <w:r>
        <w:t xml:space="preserve"> </w:t>
      </w:r>
      <w:r>
        <w:t xml:space="preserve">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adhere to the quality management system requirements of EASA and the applicable DIN/EN standards. All work performed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must be traceable and auditable in accordance with the buyer's internal QA procedures.</w:t>
      </w:r>
    </w:p>
    <w:p>
      <w:pPr>
        <w:pStyle w:val="BodyText"/>
      </w:pPr>
      <w:r>
        <w:rPr>
          <w:bCs/>
          <w:b/>
        </w:rPr>
        <w:t xml:space="preserve">6. 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deliver all work-in-progress to the buyer's Munich facility within ten (10) business days.</w:t>
      </w:r>
    </w:p>
    <w:p>
      <w:pPr>
        <w:pStyle w:val="BodyText"/>
      </w:pPr>
      <w:r>
        <w:rPr>
          <w:bCs/>
          <w:b/>
        </w:rPr>
        <w:t xml:space="preserve">7. Force Majeure:</w:t>
      </w:r>
      <w:r>
        <w:t xml:space="preserve"> </w:t>
      </w:r>
      <w:r>
        <w:t xml:space="preserve">Neither party shall be liable for delays caused by events beyond reasonable control, including but not limited to natural disasters, governmental actions, or pandemics affecting operations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or the broader European region.</w:t>
      </w:r>
    </w:p>
    <w:p>
      <w:pPr>
        <w:pStyle w:val="BodyText"/>
      </w:pPr>
      <w:r>
        <w:t xml:space="preserve">Authorized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Bavaria Aerospace Systems GmbH</w:t>
      </w:r>
    </w:p>
    <w:p>
      <w:pPr>
        <w:pStyle w:val="BodyText"/>
      </w:pPr>
      <w:r>
        <w:t xml:space="preserve">Name: Dr. Heinrich Vogel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Alpenraum Engineering Consultants UG</w:t>
      </w:r>
    </w:p>
    <w:p>
      <w:pPr>
        <w:pStyle w:val="BodyText"/>
      </w:pPr>
      <w:r>
        <w:t xml:space="preserve">Name: Prof. Dr. Katharina Brandt</w:t>
      </w:r>
    </w:p>
    <w:p>
      <w:pPr>
        <w:pStyle w:val="BodyText"/>
      </w:pPr>
      <w:r>
        <w:t xml:space="preserve">Title: Lead Aerospace Engineer /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BA-2025-04871) constitutes a binding commercial agreement between the parties upon execution. All services rendered by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are to be performed primarily at the buyer's facility located in</w:t>
      </w:r>
      <w:r>
        <w:t xml:space="preserve"> </w:t>
      </w:r>
      <w:r>
        <w:t xml:space="preserve">Germany Munich</w:t>
      </w:r>
      <w:r>
        <w:t xml:space="preserve">, with remote work permitted only with prior written approval. This document is issued in accordance with the German Commercial Code (Handelsgesetzbuch – HGB) and applicable EU procurement directives. For any amendments or clarifications, please contact the Procurement Department at Bavaria Aerospace Systems GmbH, Munich, Germany.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Aerospace Engineer Services - Germany Munich</dc:title>
  <dc:creator/>
  <dc:language>en</dc:language>
  <cp:keywords/>
  <dcterms:created xsi:type="dcterms:W3CDTF">2026-10-10T02:09:46Z</dcterms:created>
  <dcterms:modified xsi:type="dcterms:W3CDTF">2026-10-10T02:09:46Z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