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Procurement of Aerospace Engineering Professional Services</w:t>
      </w:r>
    </w:p>
    <w:p>
      <w:pPr>
        <w:pStyle w:val="BodyText"/>
      </w:pPr>
      <w:r>
        <w:t xml:space="preserve">PO No: PO-IVC-ABJ-2025-0047</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PO-IVC-ABJ-2025-0047</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Place of Performance:</w:t>
            </w:r>
          </w:p>
        </w:tc>
        <w:tc>
          <w:tcPr/>
          <w:p>
            <w:pPr>
              <w:pStyle w:val="Compact"/>
              <w:jc w:val="left"/>
            </w:pPr>
            <w:r>
              <w:t xml:space="preserve">Abidjan, Ivory Coast</w:t>
            </w:r>
          </w:p>
        </w:tc>
      </w:tr>
      <w:tr>
        <w:tc>
          <w:tcPr/>
          <w:p>
            <w:pPr>
              <w:pStyle w:val="Compact"/>
              <w:jc w:val="left"/>
            </w:pPr>
            <w:r>
              <w:rPr>
                <w:bCs/>
                <w:b/>
              </w:rPr>
              <w:t xml:space="preserve">Currency:</w:t>
            </w:r>
          </w:p>
        </w:tc>
        <w:tc>
          <w:tcPr/>
          <w:p>
            <w:pPr>
              <w:pStyle w:val="Compact"/>
              <w:jc w:val="left"/>
            </w:pPr>
            <w:r>
              <w:t xml:space="preserve">West African CFA Franc (XOF)</w:t>
            </w:r>
          </w:p>
        </w:tc>
      </w:tr>
      <w:tr>
        <w:tc>
          <w:tcPr/>
          <w:p>
            <w:pPr>
              <w:pStyle w:val="Compact"/>
              <w:jc w:val="left"/>
            </w:pPr>
            <w:r>
              <w:rPr>
                <w:bCs/>
                <w:b/>
              </w:rPr>
              <w:t xml:space="preserve">Governing Jurisdiction:</w:t>
            </w:r>
          </w:p>
        </w:tc>
        <w:tc>
          <w:tcPr/>
          <w:p>
            <w:pPr>
              <w:pStyle w:val="Compact"/>
              <w:jc w:val="left"/>
            </w:pPr>
            <w:r>
              <w:t xml:space="preserve">Republic of Côte d'Ivoire (Ivory Coast)</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Sahel Aerospace &amp; Defense Industries S.A.</w:t>
            </w:r>
          </w:p>
        </w:tc>
      </w:tr>
      <w:tr>
        <w:tc>
          <w:tcPr/>
          <w:p>
            <w:pPr>
              <w:pStyle w:val="Compact"/>
              <w:jc w:val="left"/>
            </w:pPr>
            <w:r>
              <w:rPr>
                <w:bCs/>
                <w:b/>
              </w:rPr>
              <w:t xml:space="preserve">Address:</w:t>
            </w:r>
          </w:p>
        </w:tc>
        <w:tc>
          <w:tcPr/>
          <w:p>
            <w:pPr>
              <w:pStyle w:val="Compact"/>
              <w:jc w:val="left"/>
            </w:pPr>
            <w:r>
              <w:t xml:space="preserve">Tour Ivoire, Boulevard VGE, Cocody, Abidjan, Ivory Coast</w:t>
            </w:r>
          </w:p>
        </w:tc>
      </w:tr>
      <w:tr>
        <w:tc>
          <w:tcPr/>
          <w:p>
            <w:pPr>
              <w:pStyle w:val="Compact"/>
              <w:jc w:val="left"/>
            </w:pPr>
            <w:r>
              <w:rPr>
                <w:bCs/>
                <w:b/>
              </w:rPr>
              <w:t xml:space="preserve">Registration No.:</w:t>
            </w:r>
          </w:p>
        </w:tc>
        <w:tc>
          <w:tcPr/>
          <w:p>
            <w:pPr>
              <w:pStyle w:val="Compact"/>
              <w:jc w:val="left"/>
            </w:pPr>
            <w:r>
              <w:t xml:space="preserve">CI-ABJ-2019-44821</w:t>
            </w:r>
          </w:p>
        </w:tc>
      </w:tr>
      <w:tr>
        <w:tc>
          <w:tcPr/>
          <w:p>
            <w:pPr>
              <w:pStyle w:val="Compact"/>
              <w:jc w:val="left"/>
            </w:pPr>
            <w:r>
              <w:rPr>
                <w:bCs/>
                <w:b/>
              </w:rPr>
              <w:t xml:space="preserve">Contact Person:</w:t>
            </w:r>
          </w:p>
        </w:tc>
        <w:tc>
          <w:tcPr/>
          <w:p>
            <w:pPr>
              <w:pStyle w:val="Compact"/>
              <w:jc w:val="left"/>
            </w:pPr>
            <w:r>
              <w:t xml:space="preserve">Dr. Aminata Kouassi, Director of Procurement</w:t>
            </w:r>
          </w:p>
        </w:tc>
      </w:tr>
      <w:tr>
        <w:tc>
          <w:tcPr/>
          <w:p>
            <w:pPr>
              <w:pStyle w:val="Compact"/>
              <w:jc w:val="left"/>
            </w:pPr>
            <w:r>
              <w:rPr>
                <w:bCs/>
                <w:b/>
              </w:rPr>
              <w:t xml:space="preserve">Email:</w:t>
            </w:r>
          </w:p>
        </w:tc>
        <w:tc>
          <w:tcPr/>
          <w:p>
            <w:pPr>
              <w:pStyle w:val="Compact"/>
              <w:jc w:val="left"/>
            </w:pPr>
            <w:r>
              <w:t xml:space="preserve">procurement@sahel-aerospace.ci</w:t>
            </w:r>
          </w:p>
        </w:tc>
      </w:tr>
      <w:tr>
        <w:tc>
          <w:tcPr/>
          <w:p>
            <w:pPr>
              <w:pStyle w:val="Compact"/>
              <w:jc w:val="left"/>
            </w:pPr>
            <w:r>
              <w:rPr>
                <w:bCs/>
                <w:b/>
              </w:rPr>
              <w:t xml:space="preserve">Telephone:</w:t>
            </w:r>
          </w:p>
        </w:tc>
        <w:tc>
          <w:tcPr/>
          <w:p>
            <w:pPr>
              <w:pStyle w:val="Compact"/>
              <w:jc w:val="left"/>
            </w:pPr>
            <w:r>
              <w:t xml:space="preserve">+225 27 22 45 67 89</w:t>
            </w:r>
          </w:p>
        </w:tc>
      </w:tr>
    </w:tbl>
    <w:bookmarkEnd w:id="22"/>
    <w:bookmarkStart w:id="23" w:name="supplier-service-provider"/>
    <w:p>
      <w:pPr>
        <w:pStyle w:val="Heading2"/>
      </w:pPr>
      <w:r>
        <w:t xml:space="preserve">3.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Aerospace Engineering Consultants Ltd.</w:t>
            </w:r>
          </w:p>
        </w:tc>
      </w:tr>
      <w:tr>
        <w:tc>
          <w:tcPr/>
          <w:p>
            <w:pPr>
              <w:pStyle w:val="Compact"/>
              <w:jc w:val="left"/>
            </w:pPr>
            <w:r>
              <w:rPr>
                <w:bCs/>
                <w:b/>
              </w:rPr>
              <w:t xml:space="preserve">Address:</w:t>
            </w:r>
          </w:p>
        </w:tc>
        <w:tc>
          <w:tcPr/>
          <w:p>
            <w:pPr>
              <w:pStyle w:val="Compact"/>
              <w:jc w:val="left"/>
            </w:pPr>
            <w:r>
              <w:t xml:space="preserve">12 Innovation Drive, Tech Park, Abidjan, Ivory Coast</w:t>
            </w:r>
          </w:p>
        </w:tc>
      </w:tr>
      <w:tr>
        <w:tc>
          <w:tcPr/>
          <w:p>
            <w:pPr>
              <w:pStyle w:val="Compact"/>
              <w:jc w:val="left"/>
            </w:pPr>
            <w:r>
              <w:rPr>
                <w:bCs/>
                <w:b/>
              </w:rPr>
              <w:t xml:space="preserve">Registration No.:</w:t>
            </w:r>
          </w:p>
        </w:tc>
        <w:tc>
          <w:tcPr/>
          <w:p>
            <w:pPr>
              <w:pStyle w:val="Compact"/>
              <w:jc w:val="left"/>
            </w:pPr>
            <w:r>
              <w:t xml:space="preserve">CI-ABJ-2021-77305</w:t>
            </w:r>
          </w:p>
        </w:tc>
      </w:tr>
      <w:tr>
        <w:tc>
          <w:tcPr/>
          <w:p>
            <w:pPr>
              <w:pStyle w:val="Compact"/>
              <w:jc w:val="left"/>
            </w:pPr>
            <w:r>
              <w:rPr>
                <w:bCs/>
                <w:b/>
              </w:rPr>
              <w:t xml:space="preserve">Contact Person:</w:t>
            </w:r>
          </w:p>
        </w:tc>
        <w:tc>
          <w:tcPr/>
          <w:p>
            <w:pPr>
              <w:pStyle w:val="Compact"/>
              <w:jc w:val="left"/>
            </w:pPr>
            <w:r>
              <w:t xml:space="preserve">Mr. Jean-Luc Mbarga, Chief Aerospace Engineer</w:t>
            </w:r>
          </w:p>
        </w:tc>
      </w:tr>
      <w:tr>
        <w:tc>
          <w:tcPr/>
          <w:p>
            <w:pPr>
              <w:pStyle w:val="Compact"/>
              <w:jc w:val="left"/>
            </w:pPr>
            <w:r>
              <w:rPr>
                <w:bCs/>
                <w:b/>
              </w:rPr>
              <w:t xml:space="preserve">Email:</w:t>
            </w:r>
          </w:p>
        </w:tc>
        <w:tc>
          <w:tcPr/>
          <w:p>
            <w:pPr>
              <w:pStyle w:val="Compact"/>
              <w:jc w:val="left"/>
            </w:pPr>
            <w:r>
              <w:t xml:space="preserve">services@global-aero-consultants.com</w:t>
            </w:r>
          </w:p>
        </w:tc>
      </w:tr>
      <w:tr>
        <w:tc>
          <w:tcPr/>
          <w:p>
            <w:pPr>
              <w:pStyle w:val="Compact"/>
              <w:jc w:val="left"/>
            </w:pPr>
            <w:r>
              <w:rPr>
                <w:bCs/>
                <w:b/>
              </w:rPr>
              <w:t xml:space="preserve">Telephone:</w:t>
            </w:r>
          </w:p>
        </w:tc>
        <w:tc>
          <w:tcPr/>
          <w:p>
            <w:pPr>
              <w:pStyle w:val="Compact"/>
              <w:jc w:val="left"/>
            </w:pPr>
            <w:r>
              <w:t xml:space="preserve">+225 07 08 12 34 56</w:t>
            </w:r>
          </w:p>
        </w:tc>
      </w:tr>
    </w:tbl>
    <w:bookmarkEnd w:id="23"/>
    <w:bookmarkStart w:id="24" w:name="X2a1fe246806ffa3e8640531b64daed651571928"/>
    <w:p>
      <w:pPr>
        <w:pStyle w:val="Heading2"/>
      </w:pPr>
      <w:r>
        <w:t xml:space="preserve">4. Scope of Work – Aerospace Engineer Services</w:t>
      </w:r>
    </w:p>
    <w:p>
      <w:pPr>
        <w:pStyle w:val="FirstParagraph"/>
      </w:pPr>
      <w:r>
        <w:t xml:space="preserve">This Purchase Order is issued by Sahel Aerospace &amp; Defense Industries S.A. to procure the professional services of a qualified</w:t>
      </w:r>
      <w:r>
        <w:t xml:space="preserve"> </w:t>
      </w:r>
      <w:r>
        <w:t xml:space="preserve">Aerospace Engineer</w:t>
      </w:r>
      <w:r>
        <w:t xml:space="preserve"> </w:t>
      </w:r>
      <w:r>
        <w:t xml:space="preserve">for a twelve-month engagement based in</w:t>
      </w:r>
      <w:r>
        <w:t xml:space="preserve"> </w:t>
      </w:r>
      <w:r>
        <w:t xml:space="preserve">Ivory Coast Abidjan</w:t>
      </w:r>
      <w:r>
        <w:t xml:space="preserve">. The Aerospace Engineer shall be responsible for the design, analysis, testing, and certification oversight of composite airframe components for a regional turboprop aircraft program. The selected Aerospace Engineer must hold a minimum of ten (10) years of progressive experience in aerospace structural design, possess a valid professional engineering license recognized in the Ivory Coast, and demonstrate proficiency in finite element analysis (FEA), computational fluid dynamics (CFD), and compliance with EASA and ICAO regulatory frameworks. The work location shall be the company's engineering facility situated in the Cocody district of Abidjan, Ivory Coast, with occasional travel to partner manufacturing sites within the West African sub-region.</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Aerospace Engineer – Structural Design &amp; Analysis (Monthly Retainer)</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Aerospace Engineer – Flight Test Data Interpretation &amp; Reporting</w:t>
            </w:r>
          </w:p>
        </w:tc>
        <w:tc>
          <w:tcPr/>
          <w:p>
            <w:pPr>
              <w:pStyle w:val="Compact"/>
              <w:jc w:val="left"/>
            </w:pPr>
            <w:r>
              <w:t xml:space="preserve">6 months</w:t>
            </w:r>
          </w:p>
        </w:tc>
        <w:tc>
          <w:tcPr/>
          <w:p>
            <w:pPr>
              <w:pStyle w:val="Compact"/>
              <w:jc w:val="left"/>
            </w:pPr>
            <w:r>
              <w:t xml:space="preserve">6,200,000</w:t>
            </w:r>
          </w:p>
        </w:tc>
        <w:tc>
          <w:tcPr/>
          <w:p>
            <w:pPr>
              <w:pStyle w:val="Compact"/>
              <w:jc w:val="left"/>
            </w:pPr>
            <w:r>
              <w:t xml:space="preserve">37,200,000</w:t>
            </w:r>
          </w:p>
        </w:tc>
      </w:tr>
      <w:tr>
        <w:tc>
          <w:tcPr/>
          <w:p>
            <w:pPr>
              <w:pStyle w:val="Compact"/>
              <w:jc w:val="left"/>
            </w:pPr>
            <w:r>
              <w:t xml:space="preserve">03</w:t>
            </w:r>
          </w:p>
        </w:tc>
        <w:tc>
          <w:tcPr/>
          <w:p>
            <w:pPr>
              <w:pStyle w:val="Compact"/>
              <w:jc w:val="left"/>
            </w:pPr>
            <w:r>
              <w:t xml:space="preserve">Regulatory Compliance &amp; Certification Support (EASA/ICAO) – Aerospace Engineer Oversight</w:t>
            </w:r>
          </w:p>
        </w:tc>
        <w:tc>
          <w:tcPr/>
          <w:p>
            <w:pPr>
              <w:pStyle w:val="Compact"/>
              <w:jc w:val="left"/>
            </w:pPr>
            <w:r>
              <w:t xml:space="preserve">12 months</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04</w:t>
            </w:r>
          </w:p>
        </w:tc>
        <w:tc>
          <w:tcPr/>
          <w:p>
            <w:pPr>
              <w:pStyle w:val="Compact"/>
              <w:jc w:val="left"/>
            </w:pPr>
            <w:r>
              <w:t xml:space="preserve">Engineering Software Licenses (ANSYS, CATIA V6) – Annual Subscription</w:t>
            </w:r>
          </w:p>
        </w:tc>
        <w:tc>
          <w:tcPr/>
          <w:p>
            <w:pPr>
              <w:pStyle w:val="Compact"/>
              <w:jc w:val="left"/>
            </w:pPr>
            <w:r>
              <w:t xml:space="preserve">1 set</w:t>
            </w:r>
          </w:p>
        </w:tc>
        <w:tc>
          <w:tcPr/>
          <w:p>
            <w:pPr>
              <w:pStyle w:val="Compact"/>
              <w:jc w:val="left"/>
            </w:pPr>
            <w:r>
              <w:t xml:space="preserve">12,400,000</w:t>
            </w:r>
          </w:p>
        </w:tc>
        <w:tc>
          <w:tcPr/>
          <w:p>
            <w:pPr>
              <w:pStyle w:val="Compact"/>
              <w:jc w:val="left"/>
            </w:pPr>
            <w:r>
              <w:t xml:space="preserve">12,400,000</w:t>
            </w:r>
          </w:p>
        </w:tc>
      </w:tr>
      <w:tr>
        <w:tc>
          <w:tcPr/>
          <w:p>
            <w:pPr>
              <w:pStyle w:val="Compact"/>
              <w:jc w:val="left"/>
            </w:pPr>
            <w:r>
              <w:t xml:space="preserve">05</w:t>
            </w:r>
          </w:p>
        </w:tc>
        <w:tc>
          <w:tcPr/>
          <w:p>
            <w:pPr>
              <w:pStyle w:val="Compact"/>
              <w:jc w:val="left"/>
            </w:pPr>
            <w:r>
              <w:t xml:space="preserve">On-Site Equipment &amp; Instrumentation (Strain Gauges, Load Cells, Data Acquisition)</w:t>
            </w:r>
          </w:p>
        </w:tc>
        <w:tc>
          <w:tcPr/>
          <w:p>
            <w:pPr>
              <w:pStyle w:val="Compact"/>
              <w:jc w:val="left"/>
            </w:pPr>
            <w:r>
              <w:t xml:space="preserve">1 lot</w:t>
            </w:r>
          </w:p>
        </w:tc>
        <w:tc>
          <w:tcPr/>
          <w:p>
            <w:pPr>
              <w:pStyle w:val="Compact"/>
              <w:jc w:val="left"/>
            </w:pPr>
            <w:r>
              <w:t xml:space="preserve">28,750,000</w:t>
            </w:r>
          </w:p>
        </w:tc>
        <w:tc>
          <w:tcPr/>
          <w:p>
            <w:pPr>
              <w:pStyle w:val="Compact"/>
              <w:jc w:val="left"/>
            </w:pPr>
            <w:r>
              <w:t xml:space="preserve">28,750,000</w:t>
            </w:r>
          </w:p>
        </w:tc>
      </w:tr>
      <w:tr>
        <w:tc>
          <w:tcPr/>
          <w:p>
            <w:pPr>
              <w:pStyle w:val="Compact"/>
              <w:jc w:val="left"/>
            </w:pPr>
            <w:r>
              <w:t xml:space="preserve">06</w:t>
            </w:r>
          </w:p>
        </w:tc>
        <w:tc>
          <w:tcPr/>
          <w:p>
            <w:pPr>
              <w:pStyle w:val="Compact"/>
              <w:jc w:val="left"/>
            </w:pPr>
            <w:r>
              <w:t xml:space="preserve">Travel &amp; Accommodation – Abidjan to Partner Sites (Estimate)</w:t>
            </w:r>
          </w:p>
        </w:tc>
        <w:tc>
          <w:tcPr/>
          <w:p>
            <w:pPr>
              <w:pStyle w:val="Compact"/>
              <w:jc w:val="left"/>
            </w:pPr>
            <w:r>
              <w:t xml:space="preserve">12 trips</w:t>
            </w:r>
          </w:p>
        </w:tc>
        <w:tc>
          <w:tcPr/>
          <w:p>
            <w:pPr>
              <w:pStyle w:val="Compact"/>
              <w:jc w:val="left"/>
            </w:pPr>
            <w:r>
              <w:t xml:space="preserve">1,850,000</w:t>
            </w:r>
          </w:p>
        </w:tc>
        <w:tc>
          <w:tcPr/>
          <w:p>
            <w:pPr>
              <w:pStyle w:val="Compact"/>
              <w:jc w:val="left"/>
            </w:pPr>
            <w:r>
              <w:t xml:space="preserve">22,200,000</w:t>
            </w:r>
          </w:p>
        </w:tc>
      </w:tr>
      <w:tr>
        <w:tc>
          <w:tcPr>
            <w:gridSpan w:val="4"/>
          </w:tcPr>
          <w:p>
            <w:pPr>
              <w:pStyle w:val="Compact"/>
              <w:jc w:val="left"/>
            </w:pPr>
            <w:r>
              <w:rPr>
                <w:bCs/>
                <w:b/>
              </w:rPr>
              <w:t xml:space="preserve">Subtotal</w:t>
            </w:r>
          </w:p>
        </w:tc>
        <w:tc>
          <w:tcPr/>
          <w:p>
            <w:pPr>
              <w:pStyle w:val="Compact"/>
              <w:jc w:val="left"/>
            </w:pPr>
            <w:r>
              <w:rPr>
                <w:bCs/>
                <w:b/>
              </w:rPr>
              <w:t xml:space="preserve">260,150,000</w:t>
            </w:r>
          </w:p>
        </w:tc>
      </w:tr>
      <w:tr>
        <w:tc>
          <w:tcPr>
            <w:gridSpan w:val="4"/>
          </w:tcPr>
          <w:p>
            <w:pPr>
              <w:pStyle w:val="Compact"/>
              <w:jc w:val="left"/>
            </w:pPr>
            <w:r>
              <w:rPr>
                <w:bCs/>
                <w:b/>
              </w:rPr>
              <w:t xml:space="preserve">VAT (18% – Ivory Coast Standard Rate)</w:t>
            </w:r>
          </w:p>
        </w:tc>
        <w:tc>
          <w:tcPr/>
          <w:p>
            <w:pPr>
              <w:pStyle w:val="Compact"/>
              <w:jc w:val="left"/>
            </w:pPr>
            <w:r>
              <w:rPr>
                <w:bCs/>
                <w:b/>
              </w:rPr>
              <w:t xml:space="preserve">46,827,000</w:t>
            </w:r>
          </w:p>
        </w:tc>
      </w:tr>
      <w:tr>
        <w:tc>
          <w:tcPr>
            <w:gridSpan w:val="4"/>
          </w:tcPr>
          <w:p>
            <w:pPr>
              <w:pStyle w:val="Compact"/>
              <w:jc w:val="left"/>
            </w:pPr>
            <w:r>
              <w:rPr>
                <w:bCs/>
                <w:b/>
              </w:rPr>
              <w:t xml:space="preserve">GRAND TOTAL (XOF)</w:t>
            </w:r>
          </w:p>
        </w:tc>
        <w:tc>
          <w:tcPr/>
          <w:p>
            <w:pPr>
              <w:pStyle w:val="Compact"/>
              <w:jc w:val="left"/>
            </w:pPr>
            <w:r>
              <w:rPr>
                <w:bCs/>
                <w:b/>
              </w:rPr>
              <w:t xml:space="preserve">306,977,000</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within five (5) business days of the date of issue. The Supplier's acceptance shall confirm the availability and qualifications of the designated Aerospace Engineer for the full duration of the contract.</w:t>
      </w:r>
    </w:p>
    <w:p>
      <w:pPr>
        <w:numPr>
          <w:ilvl w:val="0"/>
          <w:numId w:val="1001"/>
        </w:numPr>
        <w:pStyle w:val="Compact"/>
      </w:pPr>
      <w:r>
        <w:rPr>
          <w:bCs/>
          <w:b/>
        </w:rPr>
        <w:t xml:space="preserve">Payment Terms:</w:t>
      </w:r>
      <w:r>
        <w:t xml:space="preserve"> </w:t>
      </w:r>
      <w:r>
        <w:t xml:space="preserve">Payment shall be made in monthly installments via bank transfer to the Supplier's designated account in Abidjan, Ivory Coast, within thirty (30) days of receipt of a valid invoice. A 10% retention shall be held until final project acceptance.</w:t>
      </w:r>
    </w:p>
    <w:p>
      <w:pPr>
        <w:numPr>
          <w:ilvl w:val="0"/>
          <w:numId w:val="1001"/>
        </w:numPr>
        <w:pStyle w:val="Compact"/>
      </w:pPr>
      <w:r>
        <w:rPr>
          <w:bCs/>
          <w:b/>
        </w:rPr>
        <w:t xml:space="preserve">Performance Standards:</w:t>
      </w:r>
      <w:r>
        <w:t xml:space="preserve"> </w:t>
      </w:r>
      <w:r>
        <w:t xml:space="preserve">The Aerospace Engineer shall adhere to all applicable engineering standards, including but not limited to EASA Part 21, ICAO Annex 8, and the national aviation regulations of the Ivory Coast as administered by the Direction de l'Aviation Civile (DAC).</w:t>
      </w:r>
    </w:p>
    <w:p>
      <w:pPr>
        <w:numPr>
          <w:ilvl w:val="0"/>
          <w:numId w:val="1001"/>
        </w:numPr>
        <w:pStyle w:val="Compact"/>
      </w:pPr>
      <w:r>
        <w:rPr>
          <w:bCs/>
          <w:b/>
        </w:rPr>
        <w:t xml:space="preserve">Intellectual Property:</w:t>
      </w:r>
      <w:r>
        <w:t xml:space="preserve"> </w:t>
      </w:r>
      <w:r>
        <w:t xml:space="preserve">All designs, analyses, reports, and deliverables produced by the Aerospace Engineer under this Purchase Order shall be the exclusive property of Sahel Aerospace &amp; Defense Industries S.A. The Supplier warrants that no third-party intellectual property rights shall be infringed.</w:t>
      </w:r>
    </w:p>
    <w:p>
      <w:pPr>
        <w:numPr>
          <w:ilvl w:val="0"/>
          <w:numId w:val="1001"/>
        </w:numPr>
        <w:pStyle w:val="Compact"/>
      </w:pPr>
      <w:r>
        <w:rPr>
          <w:bCs/>
          <w:b/>
        </w:rPr>
        <w:t xml:space="preserve">Confidentiality:</w:t>
      </w:r>
      <w:r>
        <w:t xml:space="preserve"> </w:t>
      </w:r>
      <w:r>
        <w:t xml:space="preserve">The Aerospace Engineer and the Supplier shall maintain strict confidentiality regarding all proprietary data, airframe specifications, and program details.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Termination shall not affect obligations accrued prior to the effective date of termination.</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Failing resolution within thirty (30) days, the dispute shall be referred to arbitration under the rules of the Ivorian Chamber of Commerce in Abidjan, Ivory Coast. The language of arbitration shall be French, with all proceedings conducted in Abidjan.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in the Ivory Coast, government sanctions, or pandemics, provided that the affected party notifies the other within seven (7) days.</w:t>
      </w:r>
    </w:p>
    <w:p>
      <w:pPr>
        <w:numPr>
          <w:ilvl w:val="0"/>
          <w:numId w:val="1001"/>
        </w:numPr>
        <w:pStyle w:val="Compact"/>
      </w:pPr>
      <w:r>
        <w:rPr>
          <w:bCs/>
          <w:b/>
        </w:rPr>
        <w:t xml:space="preserve">Compliance with Local Law:</w:t>
      </w:r>
      <w:r>
        <w:t xml:space="preserve"> </w:t>
      </w:r>
      <w:r>
        <w:t xml:space="preserve">The Supplier and the Aerospace Engineer shall comply with all labor, immigration, tax, and professional licensing laws of the Republic of Côte d'Ivoire. The Aerospace Engineer must hold a valid work permit issued by the Ivorian Ministry of Labor prior to commencing duties in Abidjan.</w:t>
      </w:r>
    </w:p>
    <w:p>
      <w:pPr>
        <w:numPr>
          <w:ilvl w:val="0"/>
          <w:numId w:val="1001"/>
        </w:numPr>
        <w:pStyle w:val="Compact"/>
      </w:pPr>
      <w:r>
        <w:rPr>
          <w:bCs/>
          <w:b/>
        </w:rPr>
        <w:t xml:space="preserve">Insurance:</w:t>
      </w:r>
      <w:r>
        <w:t xml:space="preserve"> </w:t>
      </w:r>
      <w:r>
        <w:t xml:space="preserve">The Supplier shall maintain professional indemnity insurance with a minimum coverage of 50,000,000 XOF and public liability insurance throughout the term of this Purchase Order.</w:t>
      </w:r>
    </w:p>
    <w:bookmarkEnd w:id="26"/>
    <w:bookmarkStart w:id="27" w:name="delivery-and-acceptance"/>
    <w:p>
      <w:pPr>
        <w:pStyle w:val="Heading2"/>
      </w:pPr>
      <w:r>
        <w:t xml:space="preserve">7. Delivery and Acceptance</w:t>
      </w:r>
    </w:p>
    <w:p>
      <w:pPr>
        <w:pStyle w:val="FirstParagraph"/>
      </w:pPr>
      <w:r>
        <w:t xml:space="preserve">All engineering deliverables, including structural analysis reports, FEA models, test data summaries, and certification documentation, shall be submitted to the Buyer's project management office in Abidjan, Ivory Coast, in both digital (PDF and native CAD/FEA file formats) and hard-copy form. The Buyer shall have fifteen (15) business days to review and accept or reject each deliverable. Rejected deliverables must be corrected and resubmitted within ten (10) business days at the Supplier's sole cost.</w:t>
      </w:r>
    </w:p>
    <w:bookmarkEnd w:id="27"/>
    <w:p>
      <w:pPr>
        <w:pStyle w:val="BodyText"/>
      </w:pPr>
      <w:r>
        <w:rPr>
          <w:bCs/>
          <w:b/>
        </w:rPr>
        <w:t xml:space="preserve">For and on behalf of the Buyer:</w:t>
      </w:r>
    </w:p>
    <w:p>
      <w:pPr>
        <w:pStyle w:val="BodyText"/>
      </w:pPr>
      <w:r>
        <w:t xml:space="preserve">Sahel Aerospace &amp; Defense Industries S.A.</w:t>
      </w:r>
    </w:p>
    <w:p>
      <w:pPr>
        <w:pStyle w:val="BodyText"/>
      </w:pPr>
      <w:r>
        <w:t xml:space="preserve">Dr. Aminata Kouassi</w:t>
      </w:r>
      <w:r>
        <w:br/>
      </w:r>
      <w:r>
        <w:t xml:space="preserve">Director of Procurement</w:t>
      </w:r>
      <w:r>
        <w:br/>
      </w:r>
      <w:r>
        <w:t xml:space="preserve">Date: _______________</w:t>
      </w:r>
    </w:p>
    <w:p>
      <w:pPr>
        <w:pStyle w:val="BodyText"/>
      </w:pPr>
      <w:r>
        <w:rPr>
          <w:bCs/>
          <w:b/>
        </w:rPr>
        <w:t xml:space="preserve">For and on behalf of the Supplier:</w:t>
      </w:r>
    </w:p>
    <w:p>
      <w:pPr>
        <w:pStyle w:val="BodyText"/>
      </w:pPr>
      <w:r>
        <w:t xml:space="preserve">Global Aerospace Engineering Consultants Ltd.</w:t>
      </w:r>
    </w:p>
    <w:p>
      <w:pPr>
        <w:pStyle w:val="BodyText"/>
      </w:pPr>
      <w:r>
        <w:t xml:space="preserve">Mr. Jean-Luc Mbarga</w:t>
      </w:r>
      <w:r>
        <w:br/>
      </w:r>
      <w:r>
        <w:t xml:space="preserve">Chief Aerospace Engineer</w:t>
      </w:r>
      <w:r>
        <w:br/>
      </w:r>
      <w:r>
        <w:t xml:space="preserve">Date: _______________</w:t>
      </w:r>
    </w:p>
    <w:p>
      <w:pPr>
        <w:pStyle w:val="BodyText"/>
      </w:pPr>
      <w:r>
        <w:t xml:space="preserve">This Purchase Order (PO-IVC-ABJ-2025-0047) is issued in accordance with the procurement policies of Sahel Aerospace &amp; Defense Industries S.A. and the commercial laws of the Republic of Côte d'Ivoire. All references to the Aerospace Engineer and the location Ivory Coast Abidjan are integral to the scope and performance of this Purchase Order. This document is valid for a period of ninety (90) days from the date of issue unless accepted in writing by the Supplier.</w:t>
      </w:r>
    </w:p>
    <w:p>
      <w:pPr>
        <w:pStyle w:val="BodyText"/>
      </w:pPr>
      <w:r>
        <w:t xml:space="preserve">© 2025 Sahel Aerospace &amp; Defense Industries S.A. – Abidjan,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Ivory Coast Abidjan</dc:title>
  <dc:creator/>
  <dc:language>en</dc:language>
  <cp:keywords/>
  <dcterms:created xsi:type="dcterms:W3CDTF">2026-10-10T02:56:57Z</dcterms:created>
  <dcterms:modified xsi:type="dcterms:W3CDTF">2026-10-10T02:56:57Z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