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Aerospace</w:t>
      </w:r>
      <w:r>
        <w:t xml:space="preserve"> </w:t>
      </w:r>
      <w:r>
        <w:t xml:space="preserve">Engineer</w:t>
      </w:r>
      <w:r>
        <w:t xml:space="preserve"> </w:t>
      </w:r>
      <w:r>
        <w:t xml:space="preserve">Services</w:t>
      </w:r>
      <w:r>
        <w:t xml:space="preserve"> </w:t>
      </w:r>
      <w:r>
        <w:t xml:space="preserve">-</w:t>
      </w:r>
      <w:r>
        <w:t xml:space="preserve"> </w:t>
      </w:r>
      <w:r>
        <w:t xml:space="preserve">Kuwait</w:t>
      </w:r>
      <w:r>
        <w:t xml:space="preserve"> </w:t>
      </w:r>
      <w:r>
        <w:t xml:space="preserve">Kuwait</w:t>
      </w:r>
      <w:r>
        <w:t xml:space="preserve"> </w:t>
      </w:r>
      <w:r>
        <w:t xml:space="preserve">City</w:t>
      </w:r>
    </w:p>
    <w:bookmarkStart w:id="20" w:name="purchase-order"/>
    <w:p>
      <w:pPr>
        <w:pStyle w:val="Heading1"/>
      </w:pPr>
      <w:r>
        <w:t xml:space="preserve">PURCHASE ORDER</w:t>
      </w:r>
    </w:p>
    <w:p>
      <w:pPr>
        <w:pStyle w:val="FirstParagraph"/>
      </w:pPr>
      <w:r>
        <w:t xml:space="preserve">Official Procurement Document — Professional Services Engagement</w:t>
      </w:r>
    </w:p>
    <w:p>
      <w:pPr>
        <w:pStyle w:val="BodyText"/>
      </w:pPr>
      <w:r>
        <w:t xml:space="preserve">PO-KWT-2025-04782</w:t>
      </w:r>
    </w:p>
    <w:bookmarkEnd w:id="20"/>
    <w:bookmarkStart w:id="21" w:name="issuing-organization-buyer"/>
    <w:p>
      <w:pPr>
        <w:pStyle w:val="Heading3"/>
      </w:pPr>
      <w:r>
        <w:t xml:space="preserve">Issuing Organization (Buyer)</w:t>
      </w:r>
    </w:p>
    <w:p>
      <w:pPr>
        <w:pStyle w:val="FirstParagraph"/>
      </w:pPr>
      <w:r>
        <w:rPr>
          <w:bCs/>
          <w:b/>
        </w:rPr>
        <w:t xml:space="preserve">Kuwait Aerospace &amp; Defense Industries Authority (KADIA)</w:t>
      </w:r>
      <w:r>
        <w:br/>
      </w:r>
      <w:r>
        <w:t xml:space="preserve">P.O. Box 12456, Mishref District</w:t>
      </w:r>
      <w:r>
        <w:br/>
      </w:r>
      <w:r>
        <w:t xml:space="preserve">Kuwait, Kuwait City 13001</w:t>
      </w:r>
      <w:r>
        <w:br/>
      </w:r>
      <w:r>
        <w:t xml:space="preserve">Kingdom of Kuwait</w:t>
      </w:r>
      <w:r>
        <w:br/>
      </w:r>
      <w:r>
        <w:t xml:space="preserve">Tel: +965-2244-7800</w:t>
      </w:r>
      <w:r>
        <w:br/>
      </w:r>
      <w:r>
        <w:t xml:space="preserve">Email: procurement@kadia.gov.kw</w:t>
      </w:r>
      <w:r>
        <w:br/>
      </w:r>
      <w:r>
        <w:t xml:space="preserve">Commercial Registration No.: 108452</w:t>
      </w:r>
    </w:p>
    <w:bookmarkEnd w:id="21"/>
    <w:bookmarkStart w:id="22" w:name="service-provider-vendor"/>
    <w:p>
      <w:pPr>
        <w:pStyle w:val="Heading3"/>
      </w:pPr>
      <w:r>
        <w:t xml:space="preserve">Service Provider (Vendor)</w:t>
      </w:r>
    </w:p>
    <w:p>
      <w:pPr>
        <w:pStyle w:val="FirstParagraph"/>
      </w:pPr>
      <w:r>
        <w:rPr>
          <w:bCs/>
          <w:b/>
        </w:rPr>
        <w:t xml:space="preserve">Meridian Aerospace Consulting LLC</w:t>
      </w:r>
      <w:r>
        <w:br/>
      </w:r>
      <w:r>
        <w:t xml:space="preserve">Office 412, Al Hamra Tower, Al Hamra Street</w:t>
      </w:r>
      <w:r>
        <w:br/>
      </w:r>
      <w:r>
        <w:t xml:space="preserve">Kuwait, Kuwait City 13001</w:t>
      </w:r>
      <w:r>
        <w:br/>
      </w:r>
      <w:r>
        <w:t xml:space="preserve">Kingdom of Kuwait</w:t>
      </w:r>
      <w:r>
        <w:br/>
      </w:r>
      <w:r>
        <w:t xml:space="preserve">Tel: +965-9781-3342</w:t>
      </w:r>
      <w:r>
        <w:br/>
      </w:r>
      <w:r>
        <w:t xml:space="preserve">Email: contracts@meridian-aero.com</w:t>
      </w:r>
      <w:r>
        <w:br/>
      </w:r>
      <w:r>
        <w:t xml:space="preserve">Trade License No.: TL-2019-007834</w:t>
      </w:r>
    </w:p>
    <w:bookmarkEnd w:id="22"/>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Purchase Order Number:</w:t>
            </w:r>
          </w:p>
        </w:tc>
        <w:tc>
          <w:tcPr/>
          <w:p>
            <w:pPr>
              <w:pStyle w:val="Compact"/>
              <w:jc w:val="left"/>
            </w:pPr>
            <w:r>
              <w:t xml:space="preserve">PO-KWT-2025-04782</w:t>
            </w:r>
          </w:p>
        </w:tc>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Project Reference:</w:t>
            </w:r>
          </w:p>
        </w:tc>
        <w:tc>
          <w:tcPr/>
          <w:p>
            <w:pPr>
              <w:pStyle w:val="Compact"/>
              <w:jc w:val="left"/>
            </w:pPr>
            <w:r>
              <w:t xml:space="preserve">KADIA-ENG-2025-Q3-AEROSPACE</w:t>
            </w:r>
          </w:p>
        </w:tc>
        <w:tc>
          <w:tcPr/>
          <w:p>
            <w:pPr>
              <w:pStyle w:val="Compact"/>
              <w:jc w:val="left"/>
            </w:pPr>
            <w:r>
              <w:t xml:space="preserve">Required Start Date:</w:t>
            </w:r>
          </w:p>
        </w:tc>
        <w:tc>
          <w:tcPr/>
          <w:p>
            <w:pPr>
              <w:pStyle w:val="Compact"/>
              <w:jc w:val="left"/>
            </w:pPr>
            <w:r>
              <w:t xml:space="preserve">01 July 2025</w:t>
            </w:r>
          </w:p>
        </w:tc>
      </w:tr>
      <w:tr>
        <w:tc>
          <w:tcPr/>
          <w:p>
            <w:pPr>
              <w:pStyle w:val="Compact"/>
              <w:jc w:val="left"/>
            </w:pPr>
            <w:r>
              <w:t xml:space="preserve">Contract Duration:</w:t>
            </w:r>
          </w:p>
        </w:tc>
        <w:tc>
          <w:tcPr/>
          <w:p>
            <w:pPr>
              <w:pStyle w:val="Compact"/>
              <w:jc w:val="left"/>
            </w:pPr>
            <w:r>
              <w:t xml:space="preserve">12 Months (renewable)</w:t>
            </w:r>
          </w:p>
        </w:tc>
        <w:tc>
          <w:tcPr/>
          <w:p>
            <w:pPr>
              <w:pStyle w:val="Compact"/>
              <w:jc w:val="left"/>
            </w:pPr>
            <w:r>
              <w:t xml:space="preserve">Work Location:</w:t>
            </w:r>
          </w:p>
        </w:tc>
        <w:tc>
          <w:tcPr/>
          <w:p>
            <w:pPr>
              <w:pStyle w:val="Compact"/>
              <w:jc w:val="left"/>
            </w:pPr>
            <w:r>
              <w:t xml:space="preserve">Kuwait, Kuwait City</w:t>
            </w:r>
          </w:p>
        </w:tc>
      </w:tr>
      <w:tr>
        <w:tc>
          <w:tcPr/>
          <w:p>
            <w:pPr>
              <w:pStyle w:val="Compact"/>
              <w:jc w:val="left"/>
            </w:pPr>
            <w:r>
              <w:t xml:space="preserve">Currency:</w:t>
            </w:r>
          </w:p>
        </w:tc>
        <w:tc>
          <w:tcPr/>
          <w:p>
            <w:pPr>
              <w:pStyle w:val="Compact"/>
              <w:jc w:val="left"/>
            </w:pPr>
            <w:r>
              <w:t xml:space="preserve">Kuwaiti Dinar (KWD)</w:t>
            </w:r>
          </w:p>
        </w:tc>
        <w:tc>
          <w:tcPr/>
          <w:p>
            <w:pPr>
              <w:pStyle w:val="Compact"/>
              <w:jc w:val="left"/>
            </w:pPr>
            <w:r>
              <w:t xml:space="preserve">Payment Terms:</w:t>
            </w:r>
          </w:p>
        </w:tc>
        <w:tc>
          <w:tcPr/>
          <w:p>
            <w:pPr>
              <w:pStyle w:val="Compact"/>
              <w:jc w:val="left"/>
            </w:pPr>
            <w:r>
              <w:t xml:space="preserve">Net 30 Days</w:t>
            </w:r>
          </w:p>
        </w:tc>
      </w:tr>
    </w:tbl>
    <w:p>
      <w:pPr>
        <w:pStyle w:val="BodyText"/>
      </w:pPr>
      <w:r>
        <w:t xml:space="preserve">Description of Services — Aerospace Engineer Engagement</w:t>
      </w:r>
    </w:p>
    <w:p>
      <w:pPr>
        <w:pStyle w:val="BodyText"/>
      </w:pPr>
      <w:r>
        <w:t xml:space="preserve">This Purchase Order is issued by the Kuwait Aerospace &amp; Defense Industries Authority (KADIA) to formally engage the services of a qualified</w:t>
      </w:r>
      <w:r>
        <w:t xml:space="preserve"> </w:t>
      </w:r>
      <w:r>
        <w:rPr>
          <w:bCs/>
          <w:b/>
        </w:rPr>
        <w:t xml:space="preserve">Aerospace Engineer</w:t>
      </w:r>
      <w:r>
        <w:t xml:space="preserve"> </w:t>
      </w:r>
      <w:r>
        <w:t xml:space="preserve">to support the ongoing modernization and design-validation programs conducted at the KADIA principal engineering facility located in</w:t>
      </w:r>
      <w:r>
        <w:t xml:space="preserve"> </w:t>
      </w:r>
      <w:r>
        <w:rPr>
          <w:bCs/>
          <w:b/>
        </w:rPr>
        <w:t xml:space="preserve">Kuwait, Kuwait City</w:t>
      </w:r>
      <w:r>
        <w:t xml:space="preserve">. The Aerospace Engineer shall be responsible for the full spectrum of aerodynamic analysis, structural integrity assessment, propulsion system evaluation, and compliance verification in accordance with Kuwaiti civil aviation regulations and international aerospace standards (ICAO, FAA Advisory Circulars, and EASA Part 21). The engagement is specifically tailored to the operational requirements of the Kuwait City aerospace corridor and the national defense modernization roadmap approved by the Council of Ministers.</w:t>
      </w:r>
    </w:p>
    <w:p>
      <w:pPr>
        <w:pStyle w:val="BodyText"/>
      </w:pPr>
      <w:r>
        <w:t xml:space="preserve">Line Items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Rate (KWD)</w:t>
            </w:r>
          </w:p>
        </w:tc>
        <w:tc>
          <w:tcPr/>
          <w:p>
            <w:pPr>
              <w:pStyle w:val="Compact"/>
              <w:jc w:val="left"/>
            </w:pPr>
            <w:r>
              <w:t xml:space="preserve">Amount (KWD)</w:t>
            </w:r>
          </w:p>
        </w:tc>
      </w:tr>
      <w:tr>
        <w:tc>
          <w:tcPr/>
          <w:p>
            <w:pPr>
              <w:pStyle w:val="Compact"/>
              <w:jc w:val="left"/>
            </w:pPr>
            <w:r>
              <w:t xml:space="preserve">1</w:t>
            </w:r>
          </w:p>
        </w:tc>
        <w:tc>
          <w:tcPr/>
          <w:p>
            <w:pPr>
              <w:pStyle w:val="Compact"/>
              <w:jc w:val="left"/>
            </w:pPr>
            <w:r>
              <w:t xml:space="preserve">Senior Aerospace Engineer — Full-time professional services engagement for aerodynamic design, CFD simulation, and wind-tunnel data interpretation at the Kuwait City engineering campus. Includes on-site presence at the KADIA facility in Kuwait, Kuwait City, minimum five (5) working days per week.</w:t>
            </w:r>
          </w:p>
        </w:tc>
        <w:tc>
          <w:tcPr/>
          <w:p>
            <w:pPr>
              <w:pStyle w:val="Compact"/>
              <w:jc w:val="left"/>
            </w:pPr>
            <w:r>
              <w:t xml:space="preserve">12 months</w:t>
            </w:r>
          </w:p>
        </w:tc>
        <w:tc>
          <w:tcPr/>
          <w:p>
            <w:pPr>
              <w:pStyle w:val="Compact"/>
              <w:jc w:val="left"/>
            </w:pPr>
            <w:r>
              <w:t xml:space="preserve">4,200.000</w:t>
            </w:r>
          </w:p>
        </w:tc>
        <w:tc>
          <w:tcPr/>
          <w:p>
            <w:pPr>
              <w:pStyle w:val="Compact"/>
              <w:jc w:val="left"/>
            </w:pPr>
            <w:r>
              <w:t xml:space="preserve">50,400.000</w:t>
            </w:r>
          </w:p>
        </w:tc>
      </w:tr>
      <w:tr>
        <w:tc>
          <w:tcPr/>
          <w:p>
            <w:pPr>
              <w:pStyle w:val="Compact"/>
              <w:jc w:val="left"/>
            </w:pPr>
            <w:r>
              <w:t xml:space="preserve">2</w:t>
            </w:r>
          </w:p>
        </w:tc>
        <w:tc>
          <w:tcPr/>
          <w:p>
            <w:pPr>
              <w:pStyle w:val="Compact"/>
              <w:jc w:val="left"/>
            </w:pPr>
            <w:r>
              <w:t xml:space="preserve">Aerospace Engineer — Structural analysis and fatigue-life assessment of composite airframe components. The Aerospace Engineer shall produce detailed stress-analysis reports, finite-element modeling outputs, and material-certification documentation in compliance with Kuwaiti Ministry of Defense specifications.</w:t>
            </w:r>
          </w:p>
        </w:tc>
        <w:tc>
          <w:tcPr/>
          <w:p>
            <w:pPr>
              <w:pStyle w:val="Compact"/>
              <w:jc w:val="left"/>
            </w:pPr>
            <w:r>
              <w:t xml:space="preserve">12 months</w:t>
            </w:r>
          </w:p>
        </w:tc>
        <w:tc>
          <w:tcPr/>
          <w:p>
            <w:pPr>
              <w:pStyle w:val="Compact"/>
              <w:jc w:val="left"/>
            </w:pPr>
            <w:r>
              <w:t xml:space="preserve">1,850.000</w:t>
            </w:r>
          </w:p>
        </w:tc>
        <w:tc>
          <w:tcPr/>
          <w:p>
            <w:pPr>
              <w:pStyle w:val="Compact"/>
              <w:jc w:val="left"/>
            </w:pPr>
            <w:r>
              <w:t xml:space="preserve">22,200.000</w:t>
            </w:r>
          </w:p>
        </w:tc>
      </w:tr>
      <w:tr>
        <w:tc>
          <w:tcPr/>
          <w:p>
            <w:pPr>
              <w:pStyle w:val="Compact"/>
              <w:jc w:val="left"/>
            </w:pPr>
            <w:r>
              <w:t xml:space="preserve">3</w:t>
            </w:r>
          </w:p>
        </w:tc>
        <w:tc>
          <w:tcPr/>
          <w:p>
            <w:pPr>
              <w:pStyle w:val="Compact"/>
              <w:jc w:val="left"/>
            </w:pPr>
            <w:r>
              <w:t xml:space="preserve">Aerospace Engineer — Propulsion-system performance monitoring and thermal-management design support. Includes quarterly site inspections at the Kuwait City test-bay facility and preparation of technical memoranda for the KADIA Board of Directors.</w:t>
            </w:r>
          </w:p>
        </w:tc>
        <w:tc>
          <w:tcPr/>
          <w:p>
            <w:pPr>
              <w:pStyle w:val="Compact"/>
              <w:jc w:val="left"/>
            </w:pPr>
            <w:r>
              <w:t xml:space="preserve">12 months</w:t>
            </w:r>
          </w:p>
        </w:tc>
        <w:tc>
          <w:tcPr/>
          <w:p>
            <w:pPr>
              <w:pStyle w:val="Compact"/>
              <w:jc w:val="left"/>
            </w:pPr>
            <w:r>
              <w:t xml:space="preserve">1,200.000</w:t>
            </w:r>
          </w:p>
        </w:tc>
        <w:tc>
          <w:tcPr/>
          <w:p>
            <w:pPr>
              <w:pStyle w:val="Compact"/>
              <w:jc w:val="left"/>
            </w:pPr>
            <w:r>
              <w:t xml:space="preserve">14,400.000</w:t>
            </w:r>
          </w:p>
        </w:tc>
      </w:tr>
      <w:tr>
        <w:tc>
          <w:tcPr/>
          <w:p>
            <w:pPr>
              <w:pStyle w:val="Compact"/>
              <w:jc w:val="left"/>
            </w:pPr>
            <w:r>
              <w:t xml:space="preserve">4</w:t>
            </w:r>
          </w:p>
        </w:tc>
        <w:tc>
          <w:tcPr/>
          <w:p>
            <w:pPr>
              <w:pStyle w:val="Compact"/>
              <w:jc w:val="left"/>
            </w:pPr>
            <w:r>
              <w:t xml:space="preserve">Aerospace Engineer — Regulatory compliance and certification liaison. The Aerospace Engineer shall coordinate with the Kuwait Civil Aviation Authority (KCAA) and international bodies to ensure all design deliverables meet the applicable airworthiness directives issued for operations within Kuwait, Kuwait City, and the broader GCC region.</w:t>
            </w:r>
          </w:p>
        </w:tc>
        <w:tc>
          <w:tcPr/>
          <w:p>
            <w:pPr>
              <w:pStyle w:val="Compact"/>
              <w:jc w:val="left"/>
            </w:pPr>
            <w:r>
              <w:t xml:space="preserve">12 months</w:t>
            </w:r>
          </w:p>
        </w:tc>
        <w:tc>
          <w:tcPr/>
          <w:p>
            <w:pPr>
              <w:pStyle w:val="Compact"/>
              <w:jc w:val="left"/>
            </w:pPr>
            <w:r>
              <w:t xml:space="preserve">950.000</w:t>
            </w:r>
          </w:p>
        </w:tc>
        <w:tc>
          <w:tcPr/>
          <w:p>
            <w:pPr>
              <w:pStyle w:val="Compact"/>
              <w:jc w:val="left"/>
            </w:pPr>
            <w:r>
              <w:t xml:space="preserve">11,400.000</w:t>
            </w:r>
          </w:p>
        </w:tc>
      </w:tr>
      <w:tr>
        <w:tc>
          <w:tcPr/>
          <w:p>
            <w:pPr>
              <w:pStyle w:val="Compact"/>
              <w:jc w:val="left"/>
            </w:pPr>
            <w:r>
              <w:t xml:space="preserve">5</w:t>
            </w:r>
          </w:p>
        </w:tc>
        <w:tc>
          <w:tcPr/>
          <w:p>
            <w:pPr>
              <w:pStyle w:val="Compact"/>
              <w:jc w:val="left"/>
            </w:pPr>
            <w:r>
              <w:t xml:space="preserve">Specialized software licenses and computational resources (ANSYS Fluent, NASTRAN, CATIA V5) allocated exclusively to the Aerospace Engineer for the duration of this Purchase Order. Licenses to be installed on KADIA-issued workstations located in Kuwait, Kuwait City.</w:t>
            </w:r>
          </w:p>
        </w:tc>
        <w:tc>
          <w:tcPr/>
          <w:p>
            <w:pPr>
              <w:pStyle w:val="Compact"/>
              <w:jc w:val="left"/>
            </w:pPr>
            <w:r>
              <w:t xml:space="preserve">12 months</w:t>
            </w:r>
          </w:p>
        </w:tc>
        <w:tc>
          <w:tcPr/>
          <w:p>
            <w:pPr>
              <w:pStyle w:val="Compact"/>
              <w:jc w:val="left"/>
            </w:pPr>
            <w:r>
              <w:t xml:space="preserve">620.000</w:t>
            </w:r>
          </w:p>
        </w:tc>
        <w:tc>
          <w:tcPr/>
          <w:p>
            <w:pPr>
              <w:pStyle w:val="Compact"/>
              <w:jc w:val="left"/>
            </w:pPr>
            <w:r>
              <w:t xml:space="preserve">7,440.000</w:t>
            </w:r>
          </w:p>
        </w:tc>
      </w:tr>
    </w:tbl>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105,840.000 KWD</w:t>
            </w:r>
          </w:p>
        </w:tc>
      </w:tr>
      <w:tr>
        <w:tc>
          <w:tcPr/>
          <w:p>
            <w:pPr>
              <w:pStyle w:val="Compact"/>
              <w:jc w:val="left"/>
            </w:pPr>
            <w:r>
              <w:t xml:space="preserve">VAT (5% — Kingdom of Kuwait):</w:t>
            </w:r>
          </w:p>
        </w:tc>
        <w:tc>
          <w:tcPr/>
          <w:p>
            <w:pPr>
              <w:pStyle w:val="Compact"/>
              <w:jc w:val="right"/>
            </w:pPr>
            <w:r>
              <w:t xml:space="preserve">5,292.000 KWD</w:t>
            </w:r>
          </w:p>
        </w:tc>
      </w:tr>
      <w:tr>
        <w:tc>
          <w:tcPr/>
          <w:p>
            <w:pPr>
              <w:pStyle w:val="Compact"/>
              <w:jc w:val="left"/>
            </w:pPr>
            <w:r>
              <w:t xml:space="preserve">Grand Total:</w:t>
            </w:r>
          </w:p>
        </w:tc>
        <w:tc>
          <w:tcPr/>
          <w:p>
            <w:pPr>
              <w:pStyle w:val="Compact"/>
              <w:jc w:val="right"/>
            </w:pPr>
            <w:r>
              <w:t xml:space="preserve">111,132.000 KWD</w:t>
            </w:r>
          </w:p>
        </w:tc>
      </w:tr>
    </w:tbl>
    <w:p>
      <w:pPr>
        <w:pStyle w:val="BodyText"/>
      </w:pPr>
      <w:r>
        <w:t xml:space="preserve">Terms and Conditions</w:t>
      </w:r>
    </w:p>
    <w:p>
      <w:pPr>
        <w:numPr>
          <w:ilvl w:val="0"/>
          <w:numId w:val="1001"/>
        </w:numPr>
        <w:pStyle w:val="Compact"/>
      </w:pPr>
      <w:r>
        <w:rPr>
          <w:bCs/>
          <w:b/>
        </w:rPr>
        <w:t xml:space="preserve">Scope and Location:</w:t>
      </w:r>
      <w:r>
        <w:t xml:space="preserve"> </w:t>
      </w:r>
      <w:r>
        <w:t xml:space="preserve">All services under this Purchase Order shall be performed by the designated Aerospace Engineer at the KADIA principal facility situated in Kuwait, Kuwait City, unless otherwise authorized in writing by the Project Director. The Aerospace Engineer shall comply with all site-access, security-clearance, and safety protocols established by KADIA for operations within Kuwait City.</w:t>
      </w:r>
    </w:p>
    <w:p>
      <w:pPr>
        <w:numPr>
          <w:ilvl w:val="0"/>
          <w:numId w:val="1001"/>
        </w:numPr>
        <w:pStyle w:val="Compact"/>
      </w:pPr>
      <w:r>
        <w:rPr>
          <w:bCs/>
          <w:b/>
        </w:rPr>
        <w:t xml:space="preserve">Qualifications:</w:t>
      </w:r>
      <w:r>
        <w:t xml:space="preserve"> </w:t>
      </w:r>
      <w:r>
        <w:t xml:space="preserve">The Aerospace Engineer engaged under this Purchase Order must hold a minimum of a Master's degree in Aerospace Engineering (or equivalent discipline) from an accredited institution, possess a minimum of eight (8) years of progressive experience in aerodynamic design, structural analysis, or propulsion engineering, and maintain current professional licensure recognized by the Kuwaiti Engineering Society.</w:t>
      </w:r>
    </w:p>
    <w:p>
      <w:pPr>
        <w:numPr>
          <w:ilvl w:val="0"/>
          <w:numId w:val="1001"/>
        </w:numPr>
        <w:pStyle w:val="Compact"/>
      </w:pPr>
      <w:r>
        <w:rPr>
          <w:bCs/>
          <w:b/>
        </w:rPr>
        <w:t xml:space="preserve">Performance Standards:</w:t>
      </w:r>
      <w:r>
        <w:t xml:space="preserve"> </w:t>
      </w:r>
      <w:r>
        <w:t xml:space="preserve">The Aerospace Engineer shall deliver all technical reports, simulation outputs, and design documentation in accordance with the project schedule attached as Appendix A to this Purchase Order. Deliverables are subject to review and acceptance by the KADIA Quality Assurance Division in Kuwait, Kuwait City.</w:t>
      </w:r>
    </w:p>
    <w:p>
      <w:pPr>
        <w:numPr>
          <w:ilvl w:val="0"/>
          <w:numId w:val="1001"/>
        </w:numPr>
        <w:pStyle w:val="Compact"/>
      </w:pPr>
      <w:r>
        <w:rPr>
          <w:bCs/>
          <w:b/>
        </w:rPr>
        <w:t xml:space="preserve">Payment Schedule:</w:t>
      </w:r>
      <w:r>
        <w:t xml:space="preserve"> </w:t>
      </w:r>
      <w:r>
        <w:t xml:space="preserve">Invoicing shall be submitted on a monthly basis by the 5th working day of the following month. Payment shall be processed within thirty (30) calendar days of receipt of a valid invoice, in Kuwaiti Dinars, via bank transfer to the account designated by Meridian Aerospace Consulting LLC. Late payments shall accrue interest at the rate prescribed by Kuwaiti commercial law.</w:t>
      </w:r>
    </w:p>
    <w:p>
      <w:pPr>
        <w:numPr>
          <w:ilvl w:val="0"/>
          <w:numId w:val="1001"/>
        </w:numPr>
        <w:pStyle w:val="Compact"/>
      </w:pPr>
      <w:r>
        <w:rPr>
          <w:bCs/>
          <w:b/>
        </w:rPr>
        <w:t xml:space="preserve">Confidentiality and Data Security:</w:t>
      </w:r>
      <w:r>
        <w:t xml:space="preserve"> </w:t>
      </w:r>
      <w:r>
        <w:t xml:space="preserve">The Aerospace Engineer shall treat all KADIA proprietary data, design drawings, and defense-related information as strictly confidential. All digital files shall be stored on KADIA-secured servers located in Kuwait, Kuwait City, and shall not be transmitted outside the Kingdom of Kuwait without prior written authorization from the KADIA Information Security Office.</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termination, the Aerospace Engineer shall complete all in-progress deliverables and hand over all work-in-progress documentation to KADIA within fourteen (14) days of the termination effective date.</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State of Kuwait. Any disputes arising from this Purchase Order shall be resolved through the competent courts of Kuwait, Kuwait City, or by arbitration under the rules of the Kuwait Dispute Resolution Center.</w:t>
      </w:r>
    </w:p>
    <w:p>
      <w:pPr>
        <w:numPr>
          <w:ilvl w:val="0"/>
          <w:numId w:val="1001"/>
        </w:numPr>
        <w:pStyle w:val="Compact"/>
      </w:pPr>
      <w:r>
        <w:rPr>
          <w:bCs/>
          <w:b/>
        </w:rPr>
        <w:t xml:space="preserve">Insurance and Liability:</w:t>
      </w:r>
      <w:r>
        <w:t xml:space="preserve"> </w:t>
      </w:r>
      <w:r>
        <w:t xml:space="preserve">The Aerospace Engineer shall maintain professional indemnity insurance with a minimum coverage of 250,000 KWD, valid throughout the term of this Purchase Order, and shall name KADIA as an additional insured party.</w:t>
      </w:r>
    </w:p>
    <w:p>
      <w:pPr>
        <w:pStyle w:val="FirstParagraph"/>
      </w:pPr>
      <w:r>
        <w:t xml:space="preserve">Authorization and Acceptance</w:t>
      </w:r>
    </w:p>
    <w:p>
      <w:pPr>
        <w:pStyle w:val="BodyText"/>
      </w:pPr>
      <w:r>
        <w:rPr>
          <w:bCs/>
          <w:b/>
        </w:rPr>
        <w:t xml:space="preserve">For and on behalf of KADIA (Buyer):</w:t>
      </w:r>
    </w:p>
    <w:p>
      <w:pPr>
        <w:pStyle w:val="BodyText"/>
      </w:pPr>
      <w:r>
        <w:rPr>
          <w:bCs/>
          <w:b/>
        </w:rPr>
        <w:t xml:space="preserve">Name:</w:t>
      </w:r>
      <w:r>
        <w:t xml:space="preserve"> </w:t>
      </w:r>
      <w:r>
        <w:t xml:space="preserve">Eng. Salem Al-Mubarak Al-Sabah</w:t>
      </w:r>
      <w:r>
        <w:br/>
      </w:r>
      <w:r>
        <w:rPr>
          <w:bCs/>
          <w:b/>
        </w:rPr>
        <w:t xml:space="preserve">Title:</w:t>
      </w:r>
      <w:r>
        <w:t xml:space="preserve"> </w:t>
      </w:r>
      <w:r>
        <w:t xml:space="preserve">Director of Procurement &amp; Contracts</w:t>
      </w:r>
      <w:r>
        <w:br/>
      </w:r>
      <w:r>
        <w:rPr>
          <w:bCs/>
          <w:b/>
        </w:rPr>
        <w:t xml:space="preserve">Date:</w:t>
      </w:r>
      <w:r>
        <w:t xml:space="preserve"> </w:t>
      </w:r>
      <w:r>
        <w:t xml:space="preserve">_______________   </w:t>
      </w:r>
      <w:r>
        <w:t xml:space="preserve"> </w:t>
      </w:r>
      <w:r>
        <w:rPr>
          <w:bCs/>
          <w:b/>
        </w:rPr>
        <w:t xml:space="preserve">Signature:</w:t>
      </w:r>
      <w:r>
        <w:t xml:space="preserve"> </w:t>
      </w:r>
      <w:r>
        <w:t xml:space="preserve">_______________</w:t>
      </w:r>
    </w:p>
    <w:p>
      <w:pPr>
        <w:pStyle w:val="BodyText"/>
      </w:pPr>
      <w:r>
        <w:rPr>
          <w:bCs/>
          <w:b/>
        </w:rPr>
        <w:t xml:space="preserve">For and on behalf of Meridian Aerospace Consulting LLC (Vendor):</w:t>
      </w:r>
    </w:p>
    <w:p>
      <w:pPr>
        <w:pStyle w:val="BodyText"/>
      </w:pPr>
      <w:r>
        <w:rPr>
          <w:bCs/>
          <w:b/>
        </w:rPr>
        <w:t xml:space="preserve">Name:</w:t>
      </w:r>
      <w:r>
        <w:t xml:space="preserve"> </w:t>
      </w:r>
      <w:r>
        <w:t xml:space="preserve">Dr. Fatima Al-Harbi</w:t>
      </w:r>
      <w:r>
        <w:br/>
      </w:r>
      <w:r>
        <w:rPr>
          <w:bCs/>
          <w:b/>
        </w:rPr>
        <w:t xml:space="preserve">Title:</w:t>
      </w:r>
      <w:r>
        <w:t xml:space="preserve"> </w:t>
      </w:r>
      <w:r>
        <w:t xml:space="preserve">Managing Director</w:t>
      </w:r>
      <w:r>
        <w:br/>
      </w:r>
      <w:r>
        <w:rPr>
          <w:bCs/>
          <w:b/>
        </w:rPr>
        <w:t xml:space="preserve">Date:</w:t>
      </w:r>
      <w:r>
        <w:t xml:space="preserve"> </w:t>
      </w:r>
      <w:r>
        <w:t xml:space="preserve">_______________   </w:t>
      </w:r>
      <w:r>
        <w:t xml:space="preserve"> </w:t>
      </w:r>
      <w:r>
        <w:rPr>
          <w:bCs/>
          <w:b/>
        </w:rPr>
        <w:t xml:space="preserve">Signature:</w:t>
      </w:r>
      <w:r>
        <w:t xml:space="preserve"> </w:t>
      </w:r>
      <w:r>
        <w:t xml:space="preserve">_______________</w:t>
      </w:r>
    </w:p>
    <w:p>
      <w:pPr>
        <w:pStyle w:val="BodyText"/>
      </w:pPr>
      <w:r>
        <w:t xml:space="preserve">This Purchase Order (PO-KWT-2025-04782) is a legally binding procurement document issued by the Kuwait Aerospace &amp; Defense Industries Authority for the engagement of an Aerospace Engineer in Kuwait, Kuwait City. This document is valid only when signed and stamped by both authorized parties. Unauthorized reproduction or distribution is prohibited under Kuwaiti commercial law.</w:t>
      </w:r>
    </w:p>
    <w:p>
      <w:pPr>
        <w:pStyle w:val="BodyText"/>
      </w:pPr>
      <w:r>
        <w:t xml:space="preserve">© 2025 KADIA — Kuwait, Kuwait City —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Aerospace Engineer Services - Kuwait Kuwait City</dc:title>
  <dc:creator/>
  <dc:language>en</dc:language>
  <cp:keywords/>
  <dcterms:created xsi:type="dcterms:W3CDTF">2026-10-10T09:07:15Z</dcterms:created>
  <dcterms:modified xsi:type="dcterms:W3CDTF">2026-10-10T09:07:15Z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