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PO-MX-2025-04871</w:t>
      </w:r>
    </w:p>
    <w:p>
      <w:pPr>
        <w:pStyle w:val="BodyText"/>
      </w:pPr>
      <w:r>
        <w:rPr>
          <w:bCs/>
          <w:b/>
        </w:rPr>
        <w:t xml:space="preserve">Issuing Entity:</w:t>
      </w:r>
      <w:r>
        <w:t xml:space="preserve"> </w:t>
      </w:r>
      <w:r>
        <w:t xml:space="preserve">Aerodinámica del Pacífico S.A. de C.V.</w:t>
      </w:r>
    </w:p>
    <w:p>
      <w:pPr>
        <w:pStyle w:val="BodyText"/>
      </w:pPr>
      <w:r>
        <w:rPr>
          <w:bCs/>
          <w:b/>
        </w:rPr>
        <w:t xml:space="preserve">Location of Operations:</w:t>
      </w:r>
      <w:r>
        <w:t xml:space="preserve"> </w:t>
      </w:r>
      <w:r>
        <w:t xml:space="preserve">Mexico Mexico City, CDMX, México</w:t>
      </w:r>
    </w:p>
    <w:p>
      <w:pPr>
        <w:pStyle w:val="BodyText"/>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September 30,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Mexican Peso (MXN)</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(Issuing Party)</w:t>
            </w:r>
          </w:p>
        </w:tc>
        <w:tc>
          <w:tcPr/>
          <w:p>
            <w:pPr>
              <w:pStyle w:val="Compact"/>
              <w:jc w:val="left"/>
            </w:pPr>
            <w:r>
              <w:t xml:space="preserve">Seller (Receiving Party)</w:t>
            </w:r>
          </w:p>
        </w:tc>
      </w:tr>
      <w:tr>
        <w:tc>
          <w:tcPr/>
          <w:p>
            <w:pPr>
              <w:pStyle w:val="Compact"/>
              <w:jc w:val="left"/>
            </w:pPr>
            <w:r>
              <w:rPr>
                <w:bCs/>
                <w:b/>
              </w:rPr>
              <w:t xml:space="preserve">Company Name</w:t>
            </w:r>
          </w:p>
        </w:tc>
        <w:tc>
          <w:tcPr/>
          <w:p>
            <w:pPr>
              <w:pStyle w:val="Compact"/>
              <w:jc w:val="left"/>
            </w:pPr>
            <w:r>
              <w:t xml:space="preserve">Aerodinámica del Pacífico S.A. de C.V.</w:t>
            </w:r>
          </w:p>
        </w:tc>
        <w:tc>
          <w:tcPr/>
          <w:p>
            <w:pPr>
              <w:pStyle w:val="Compact"/>
              <w:jc w:val="left"/>
            </w:pPr>
            <w:r>
              <w:t xml:space="preserve">Ingeniería Aeroespacial Consultiva, S.C.</w:t>
            </w:r>
          </w:p>
        </w:tc>
      </w:tr>
      <w:tr>
        <w:tc>
          <w:tcPr/>
          <w:p>
            <w:pPr>
              <w:pStyle w:val="Compact"/>
              <w:jc w:val="left"/>
            </w:pPr>
            <w:r>
              <w:rPr>
                <w:bCs/>
                <w:b/>
              </w:rPr>
              <w:t xml:space="preserve">Address</w:t>
            </w:r>
          </w:p>
        </w:tc>
        <w:tc>
          <w:tcPr/>
          <w:p>
            <w:pPr>
              <w:pStyle w:val="Compact"/>
              <w:jc w:val="left"/>
            </w:pPr>
            <w:r>
              <w:t xml:space="preserve">Av. Insurgentes Sur 1850, Col. Del Valle, 03100, Mexico Mexico City, CDMX, México</w:t>
            </w:r>
          </w:p>
        </w:tc>
        <w:tc>
          <w:tcPr/>
          <w:p>
            <w:pPr>
              <w:pStyle w:val="Compact"/>
              <w:jc w:val="left"/>
            </w:pPr>
            <w:r>
              <w:t xml:space="preserve">Blvd. Manuel Ávila Camacho 120, Piso 14, Col. Lomas Altas, 11950, Mexico Mexico City, CDMX, México</w:t>
            </w:r>
          </w:p>
        </w:tc>
      </w:tr>
      <w:tr>
        <w:tc>
          <w:tcPr/>
          <w:p>
            <w:pPr>
              <w:pStyle w:val="Compact"/>
              <w:jc w:val="left"/>
            </w:pPr>
            <w:r>
              <w:rPr>
                <w:bCs/>
                <w:b/>
              </w:rPr>
              <w:t xml:space="preserve">RFC / Tax ID</w:t>
            </w:r>
          </w:p>
        </w:tc>
        <w:tc>
          <w:tcPr/>
          <w:p>
            <w:pPr>
              <w:pStyle w:val="Compact"/>
              <w:jc w:val="left"/>
            </w:pPr>
            <w:r>
              <w:t xml:space="preserve">APC980512-447</w:t>
            </w:r>
          </w:p>
        </w:tc>
        <w:tc>
          <w:tcPr/>
          <w:p>
            <w:pPr>
              <w:pStyle w:val="Compact"/>
              <w:jc w:val="left"/>
            </w:pPr>
            <w:r>
              <w:t xml:space="preserve">IAC020315-892</w:t>
            </w:r>
          </w:p>
        </w:tc>
      </w:tr>
      <w:tr>
        <w:tc>
          <w:tcPr/>
          <w:p>
            <w:pPr>
              <w:pStyle w:val="Compact"/>
              <w:jc w:val="left"/>
            </w:pPr>
            <w:r>
              <w:rPr>
                <w:bCs/>
                <w:b/>
              </w:rPr>
              <w:t xml:space="preserve">Contact Person</w:t>
            </w:r>
          </w:p>
        </w:tc>
        <w:tc>
          <w:tcPr/>
          <w:p>
            <w:pPr>
              <w:pStyle w:val="Compact"/>
              <w:jc w:val="left"/>
            </w:pPr>
            <w:r>
              <w:t xml:space="preserve">Ing. María Fernanda Gutiérrez López</w:t>
            </w:r>
          </w:p>
        </w:tc>
        <w:tc>
          <w:tcPr/>
          <w:p>
            <w:pPr>
              <w:pStyle w:val="Compact"/>
              <w:jc w:val="left"/>
            </w:pPr>
            <w:r>
              <w:t xml:space="preserve">Dr. Ricardo Salazar Mendoza</w:t>
            </w:r>
          </w:p>
        </w:tc>
      </w:tr>
      <w:tr>
        <w:tc>
          <w:tcPr/>
          <w:p>
            <w:pPr>
              <w:pStyle w:val="Compact"/>
              <w:jc w:val="left"/>
            </w:pPr>
            <w:r>
              <w:rPr>
                <w:bCs/>
                <w:b/>
              </w:rPr>
              <w:t xml:space="preserve">Email</w:t>
            </w:r>
          </w:p>
        </w:tc>
        <w:tc>
          <w:tcPr/>
          <w:p>
            <w:pPr>
              <w:pStyle w:val="Compact"/>
              <w:jc w:val="left"/>
            </w:pPr>
            <w:r>
              <w:t xml:space="preserve">m.gutierrez@aeropacifico.mx</w:t>
            </w:r>
          </w:p>
        </w:tc>
        <w:tc>
          <w:tcPr/>
          <w:p>
            <w:pPr>
              <w:pStyle w:val="Compact"/>
              <w:jc w:val="left"/>
            </w:pPr>
            <w:r>
              <w:t xml:space="preserve">r.salazar@ing aeroespacial.mx</w:t>
            </w:r>
          </w:p>
        </w:tc>
      </w:tr>
      <w:tr>
        <w:tc>
          <w:tcPr/>
          <w:p>
            <w:pPr>
              <w:pStyle w:val="Compact"/>
              <w:jc w:val="left"/>
            </w:pPr>
            <w:r>
              <w:rPr>
                <w:bCs/>
                <w:b/>
              </w:rPr>
              <w:t xml:space="preserve">Phone</w:t>
            </w:r>
          </w:p>
        </w:tc>
        <w:tc>
          <w:tcPr/>
          <w:p>
            <w:pPr>
              <w:pStyle w:val="Compact"/>
              <w:jc w:val="left"/>
            </w:pPr>
            <w:r>
              <w:t xml:space="preserve">+52 (55) 5512-3456</w:t>
            </w:r>
          </w:p>
        </w:tc>
        <w:tc>
          <w:tcPr/>
          <w:p>
            <w:pPr>
              <w:pStyle w:val="Compact"/>
              <w:jc w:val="left"/>
            </w:pPr>
            <w:r>
              <w:t xml:space="preserve">+52 (55) 5678-9012</w:t>
            </w:r>
          </w:p>
        </w:tc>
      </w:tr>
    </w:tbl>
    <w:bookmarkEnd w:id="21"/>
    <w:bookmarkStart w:id="22" w:name="Xdecb7944b75976639f5f9c262e0333e993d67f2"/>
    <w:p>
      <w:pPr>
        <w:pStyle w:val="Heading2"/>
      </w:pPr>
      <w:r>
        <w:t xml:space="preserve">2. Description of Services – Aerospace Engineer Engagement</w:t>
      </w:r>
    </w:p>
    <w:p>
      <w:pPr>
        <w:pStyle w:val="FirstParagraph"/>
      </w:pPr>
      <w:r>
        <w:t xml:space="preserve">This</w:t>
      </w:r>
      <w:r>
        <w:t xml:space="preserve"> </w:t>
      </w:r>
      <w:r>
        <w:t xml:space="preserve">Purchase Order</w:t>
      </w:r>
      <w:r>
        <w:t xml:space="preserve"> </w:t>
      </w:r>
      <w:r>
        <w:t xml:space="preserve">is issued by Aerodinámica del Pacífico S.A. de C.V., a manufacturing and design firm headquartered in</w:t>
      </w:r>
      <w:r>
        <w:t xml:space="preserve"> </w:t>
      </w:r>
      <w:r>
        <w:t xml:space="preserve">Mexico Mexico City</w:t>
      </w:r>
      <w:r>
        <w:t xml:space="preserve">, to formally request and authorize the engagement of a qualified</w:t>
      </w:r>
      <w:r>
        <w:t xml:space="preserve"> </w:t>
      </w:r>
      <w:r>
        <w:t xml:space="preserve">Aerospace Engineer</w:t>
      </w:r>
      <w:r>
        <w:t xml:space="preserve"> </w:t>
      </w:r>
      <w:r>
        <w:t xml:space="preserve">to provide specialized technical consulting services. The</w:t>
      </w:r>
      <w:r>
        <w:t xml:space="preserve"> </w:t>
      </w:r>
      <w:r>
        <w:t xml:space="preserve">Aerospace Engineer</w:t>
      </w:r>
      <w:r>
        <w:t xml:space="preserve"> </w:t>
      </w:r>
      <w:r>
        <w:t xml:space="preserve">shall be responsible for the aerodynamic analysis, structural integrity assessment, and propulsion system optimization of the Company's next-generation commercial drone platform, designated as Project "Águila-7." All professional services under this</w:t>
      </w:r>
      <w:r>
        <w:t xml:space="preserve"> </w:t>
      </w:r>
      <w:r>
        <w:t xml:space="preserve">Purchase Order</w:t>
      </w:r>
      <w:r>
        <w:t xml:space="preserve"> </w:t>
      </w:r>
      <w:r>
        <w:t xml:space="preserve">shall be performed in compliance with the regulations established by the Agencia del Espacio Aéreo Mexicano (AEM) and the applicable standards of the Comisión Nacional de Seguridad en Transportación (CONATRA) within the jurisdiction of</w:t>
      </w:r>
      <w:r>
        <w:t xml:space="preserve"> </w:t>
      </w:r>
      <w:r>
        <w:t xml:space="preserve">Mexico Mexico City</w:t>
      </w:r>
      <w:r>
        <w:t xml:space="preserve"> </w:t>
      </w:r>
      <w:r>
        <w:t xml:space="preserve">and the broader Mexican federal territory.</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Aerospace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Extended Price (MXN)</w:t>
            </w:r>
          </w:p>
        </w:tc>
      </w:tr>
      <w:tr>
        <w:tc>
          <w:tcPr/>
          <w:p>
            <w:pPr>
              <w:pStyle w:val="Compact"/>
              <w:jc w:val="left"/>
            </w:pPr>
            <w:r>
              <w:t xml:space="preserve">001</w:t>
            </w:r>
          </w:p>
        </w:tc>
        <w:tc>
          <w:tcPr/>
          <w:p>
            <w:pPr>
              <w:pStyle w:val="Compact"/>
              <w:jc w:val="left"/>
            </w:pPr>
            <w:r>
              <w:t xml:space="preserve">Aerospace Engineer – Aerodynamic Modeling &amp; CFD Simulation (Project Águila-7 airframe analysis, 120-hour engagement)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002</w:t>
            </w:r>
          </w:p>
        </w:tc>
        <w:tc>
          <w:tcPr/>
          <w:p>
            <w:pPr>
              <w:pStyle w:val="Compact"/>
              <w:jc w:val="left"/>
            </w:pPr>
            <w:r>
              <w:t xml:space="preserve">Aerospace Engineer – Structural Load Analysis &amp; Fatigue Testing Protocol Development (composite wing assembly, 80-hour engagement)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198,500.00</w:t>
            </w:r>
          </w:p>
        </w:tc>
        <w:tc>
          <w:tcPr/>
          <w:p>
            <w:pPr>
              <w:pStyle w:val="Compact"/>
              <w:jc w:val="left"/>
            </w:pPr>
            <w:r>
              <w:t xml:space="preserve">198,500.00</w:t>
            </w:r>
          </w:p>
        </w:tc>
      </w:tr>
      <w:tr>
        <w:tc>
          <w:tcPr/>
          <w:p>
            <w:pPr>
              <w:pStyle w:val="Compact"/>
              <w:jc w:val="left"/>
            </w:pPr>
            <w:r>
              <w:t xml:space="preserve">003</w:t>
            </w:r>
          </w:p>
        </w:tc>
        <w:tc>
          <w:tcPr/>
          <w:p>
            <w:pPr>
              <w:pStyle w:val="Compact"/>
              <w:jc w:val="left"/>
            </w:pPr>
            <w:r>
              <w:t xml:space="preserve">Aerospace Engineer – Propulsion System Thermal Analysis &amp; Efficiency Optimization (hybrid-electric motor integration, 60-hour engagement)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162,000.00</w:t>
            </w:r>
          </w:p>
        </w:tc>
        <w:tc>
          <w:tcPr/>
          <w:p>
            <w:pPr>
              <w:pStyle w:val="Compact"/>
              <w:jc w:val="left"/>
            </w:pPr>
            <w:r>
              <w:t xml:space="preserve">162,000.00</w:t>
            </w:r>
          </w:p>
        </w:tc>
      </w:tr>
      <w:tr>
        <w:tc>
          <w:tcPr/>
          <w:p>
            <w:pPr>
              <w:pStyle w:val="Compact"/>
              <w:jc w:val="left"/>
            </w:pPr>
            <w:r>
              <w:t xml:space="preserve">004</w:t>
            </w:r>
          </w:p>
        </w:tc>
        <w:tc>
          <w:tcPr/>
          <w:p>
            <w:pPr>
              <w:pStyle w:val="Compact"/>
              <w:jc w:val="left"/>
            </w:pPr>
            <w:r>
              <w:t xml:space="preserve">Aerospace Engineer – Regulatory Compliance Review &amp; AEM Certification Documentation (flight test planning, 40-hour engagement)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005</w:t>
            </w:r>
          </w:p>
        </w:tc>
        <w:tc>
          <w:tcPr/>
          <w:p>
            <w:pPr>
              <w:pStyle w:val="Compact"/>
              <w:jc w:val="left"/>
            </w:pPr>
            <w:r>
              <w:t xml:space="preserve">Aerospace Engineer – On-site Technical Supervision at Mexico Mexico City Test Facility (5 days, including travel within CDMX metropolitan area)</w:t>
            </w:r>
          </w:p>
        </w:tc>
        <w:tc>
          <w:tcPr/>
          <w:p>
            <w:pPr>
              <w:pStyle w:val="Compact"/>
              <w:jc w:val="left"/>
            </w:pPr>
            <w:r>
              <w:t xml:space="preserve">5</w:t>
            </w:r>
          </w:p>
        </w:tc>
        <w:tc>
          <w:tcPr/>
          <w:p>
            <w:pPr>
              <w:pStyle w:val="Compact"/>
              <w:jc w:val="left"/>
            </w:pPr>
            <w:r>
              <w:t xml:space="preserve">Days</w:t>
            </w:r>
          </w:p>
        </w:tc>
        <w:tc>
          <w:tcPr/>
          <w:p>
            <w:pPr>
              <w:pStyle w:val="Compact"/>
              <w:jc w:val="left"/>
            </w:pPr>
            <w:r>
              <w:t xml:space="preserve">18,500.00</w:t>
            </w:r>
          </w:p>
        </w:tc>
        <w:tc>
          <w:tcPr/>
          <w:p>
            <w:pPr>
              <w:pStyle w:val="Compact"/>
              <w:jc w:val="left"/>
            </w:pPr>
            <w:r>
              <w:t xml:space="preserve">92,500.00</w:t>
            </w:r>
          </w:p>
        </w:tc>
      </w:tr>
      <w:tr>
        <w:tc>
          <w:tcPr/>
          <w:p>
            <w:pPr>
              <w:pStyle w:val="Compact"/>
              <w:jc w:val="left"/>
            </w:pPr>
            <w:r>
              <w:t xml:space="preserve">006</w:t>
            </w:r>
          </w:p>
        </w:tc>
        <w:tc>
          <w:tcPr/>
          <w:p>
            <w:pPr>
              <w:pStyle w:val="Compact"/>
              <w:jc w:val="left"/>
            </w:pPr>
            <w:r>
              <w:t xml:space="preserve">Aerospace Engineer – Final Technical Report, Design Validation Summary &amp; Handover Documentation (Project Águila-7)</w:t>
            </w:r>
          </w:p>
        </w:tc>
        <w:tc>
          <w:tcPr/>
          <w:p>
            <w:pPr>
              <w:pStyle w:val="Compact"/>
              <w:jc w:val="left"/>
            </w:pPr>
            <w:r>
              <w:t xml:space="preserve">1</w:t>
            </w:r>
          </w:p>
        </w:tc>
        <w:tc>
          <w:tcPr/>
          <w:p>
            <w:pPr>
              <w:pStyle w:val="Compact"/>
              <w:jc w:val="left"/>
            </w:pPr>
            <w:r>
              <w:t xml:space="preserve">Lot</w:t>
            </w:r>
          </w:p>
        </w:tc>
        <w:tc>
          <w:tcPr/>
          <w:p>
            <w:pPr>
              <w:pStyle w:val="Compact"/>
              <w:jc w:val="left"/>
            </w:pPr>
            <w:r>
              <w:t xml:space="preserve">74,000.00</w:t>
            </w:r>
          </w:p>
        </w:tc>
        <w:tc>
          <w:tcPr/>
          <w:p>
            <w:pPr>
              <w:pStyle w:val="Compact"/>
              <w:jc w:val="left"/>
            </w:pPr>
            <w:r>
              <w:t xml:space="preserve">74,000.00</w:t>
            </w:r>
          </w:p>
        </w:tc>
      </w:tr>
      <w:tr>
        <w:tc>
          <w:tcPr>
            <w:gridSpan w:val="5"/>
          </w:tcPr>
          <w:p>
            <w:pPr>
              <w:pStyle w:val="Compact"/>
              <w:jc w:val="right"/>
            </w:pPr>
            <w:r>
              <w:t xml:space="preserve">Subtotal (MXN)</w:t>
            </w:r>
          </w:p>
        </w:tc>
        <w:tc>
          <w:tcPr/>
          <w:p>
            <w:pPr>
              <w:pStyle w:val="Compact"/>
              <w:jc w:val="left"/>
            </w:pPr>
            <w:r>
              <w:t xml:space="preserve">907,000.00</w:t>
            </w:r>
          </w:p>
        </w:tc>
      </w:tr>
      <w:tr>
        <w:tc>
          <w:tcPr>
            <w:gridSpan w:val="5"/>
          </w:tcPr>
          <w:p>
            <w:pPr>
              <w:pStyle w:val="Compact"/>
              <w:jc w:val="right"/>
            </w:pPr>
            <w:r>
              <w:t xml:space="preserve">IVA (16% VAT – Mexico)</w:t>
            </w:r>
          </w:p>
        </w:tc>
        <w:tc>
          <w:tcPr/>
          <w:p>
            <w:pPr>
              <w:pStyle w:val="Compact"/>
              <w:jc w:val="left"/>
            </w:pPr>
            <w:r>
              <w:t xml:space="preserve">145,120.00</w:t>
            </w:r>
          </w:p>
        </w:tc>
      </w:tr>
      <w:tr>
        <w:tc>
          <w:tcPr>
            <w:gridSpan w:val="5"/>
          </w:tcPr>
          <w:p>
            <w:pPr>
              <w:pStyle w:val="Compact"/>
              <w:jc w:val="right"/>
            </w:pPr>
            <w:r>
              <w:rPr>
                <w:bCs/>
                <w:b/>
              </w:rPr>
              <w:t xml:space="preserve">TOTAL AMOUNT DUE (MXN)</w:t>
            </w:r>
          </w:p>
        </w:tc>
        <w:tc>
          <w:tcPr/>
          <w:p>
            <w:pPr>
              <w:pStyle w:val="Compact"/>
              <w:jc w:val="left"/>
            </w:pPr>
            <w:r>
              <w:rPr>
                <w:bCs/>
                <w:b/>
              </w:rPr>
              <w:t xml:space="preserve">1,052,120.00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of Work:</w:t>
      </w:r>
      <w:r>
        <w:t xml:space="preserve"> </w:t>
      </w:r>
      <w:r>
        <w:t xml:space="preserve">The</w:t>
      </w:r>
      <w:r>
        <w:t xml:space="preserve"> </w:t>
      </w:r>
      <w:r>
        <w:t xml:space="preserve">Aerospace Engineer</w:t>
      </w:r>
      <w:r>
        <w:t xml:space="preserve"> </w:t>
      </w:r>
      <w:r>
        <w:t xml:space="preserve">engaged under this</w:t>
      </w:r>
      <w:r>
        <w:t xml:space="preserve"> </w:t>
      </w:r>
      <w:r>
        <w:t xml:space="preserve">Purchase Order</w:t>
      </w:r>
      <w:r>
        <w:t xml:space="preserve"> </w:t>
      </w:r>
      <w:r>
        <w:t xml:space="preserve">shall perform all duties in strict accordance with the technical specifications outlined in Annex A (attached separately). The</w:t>
      </w:r>
      <w:r>
        <w:t xml:space="preserve"> </w:t>
      </w:r>
      <w:r>
        <w:t xml:space="preserve">Aerospace Engineer</w:t>
      </w:r>
      <w:r>
        <w:t xml:space="preserve"> </w:t>
      </w:r>
      <w:r>
        <w:t xml:space="preserve">must hold a valid professional license (Cédula Profesional) issued by the Colegio de Ingenieros Aeronáuticos de México and possess a minimum of ten (10) years of documented experience in aerospace design and analysis.</w:t>
      </w:r>
    </w:p>
    <w:p>
      <w:pPr>
        <w:numPr>
          <w:ilvl w:val="0"/>
          <w:numId w:val="1001"/>
        </w:numPr>
        <w:pStyle w:val="Compact"/>
      </w:pPr>
      <w:r>
        <w:rPr>
          <w:bCs/>
          <w:b/>
        </w:rPr>
        <w:t xml:space="preserve">Place of Performance:</w:t>
      </w:r>
      <w:r>
        <w:t xml:space="preserve"> </w:t>
      </w:r>
      <w:r>
        <w:t xml:space="preserve">All on-site activities, meetings, and technical reviews shall take place at the Buyer's primary facility located in</w:t>
      </w:r>
      <w:r>
        <w:t xml:space="preserve"> </w:t>
      </w:r>
      <w:r>
        <w:t xml:space="preserve">Mexico Mexico City</w:t>
      </w:r>
      <w:r>
        <w:t xml:space="preserve">, CDMX. Remote work may be conducted at the Seller's office in</w:t>
      </w:r>
      <w:r>
        <w:t xml:space="preserve"> </w:t>
      </w:r>
      <w:r>
        <w:t xml:space="preserve">Mexico Mexico City</w:t>
      </w:r>
      <w:r>
        <w:t xml:space="preserve"> </w:t>
      </w:r>
      <w:r>
        <w:t xml:space="preserve">as mutually agreed upon in writing. The</w:t>
      </w:r>
      <w:r>
        <w:t xml:space="preserve"> </w:t>
      </w:r>
      <w:r>
        <w:t xml:space="preserve">Aerospace Engineer</w:t>
      </w:r>
      <w:r>
        <w:t xml:space="preserve"> </w:t>
      </w:r>
      <w:r>
        <w:t xml:space="preserve">shall ensure that all deliverables are submitted to the Buyer's project management office in</w:t>
      </w:r>
      <w:r>
        <w:t xml:space="preserve"> </w:t>
      </w:r>
      <w:r>
        <w:t xml:space="preserve">Mexico Mexico City</w:t>
      </w:r>
      <w:r>
        <w:t xml:space="preserve"> </w:t>
      </w:r>
      <w:r>
        <w:t xml:space="preserve">no later than the dates specified in the project timeline.</w:t>
      </w:r>
    </w:p>
    <w:p>
      <w:pPr>
        <w:numPr>
          <w:ilvl w:val="0"/>
          <w:numId w:val="1001"/>
        </w:numPr>
        <w:pStyle w:val="Compact"/>
      </w:pPr>
      <w:r>
        <w:rPr>
          <w:bCs/>
          <w:b/>
        </w:rPr>
        <w:t xml:space="preserve">Payment Schedule:</w:t>
      </w:r>
      <w:r>
        <w:t xml:space="preserve"> </w:t>
      </w:r>
      <w:r>
        <w:t xml:space="preserve">Payment shall be made in three (3) installments: 40% upon execution of this</w:t>
      </w:r>
      <w:r>
        <w:t xml:space="preserve"> </w:t>
      </w:r>
      <w:r>
        <w:t xml:space="preserve">Purchase Order</w:t>
      </w:r>
      <w:r>
        <w:t xml:space="preserve">, 40% upon completion of Items 001 through 004, and 20% upon final acceptance of the Technical Report (Item 006). All payments shall be made via bank transfer to the Seller's designated account in Mexican Pesos (MXN) within forty-five (45) calendar days of invoice receipt, in accordance with Mexican commercial law (Código de Comercio).</w:t>
      </w:r>
    </w:p>
    <w:p>
      <w:pPr>
        <w:numPr>
          <w:ilvl w:val="0"/>
          <w:numId w:val="1001"/>
        </w:numPr>
        <w:pStyle w:val="Compact"/>
      </w:pPr>
      <w:r>
        <w:rPr>
          <w:bCs/>
          <w:b/>
        </w:rPr>
        <w:t xml:space="preserve">Confidentiality:</w:t>
      </w:r>
      <w:r>
        <w:t xml:space="preserve"> </w:t>
      </w:r>
      <w:r>
        <w:t xml:space="preserve">The</w:t>
      </w:r>
      <w:r>
        <w:t xml:space="preserve"> </w:t>
      </w:r>
      <w:r>
        <w:t xml:space="preserve">Aerospace Engineer</w:t>
      </w:r>
      <w:r>
        <w:t xml:space="preserve"> </w:t>
      </w:r>
      <w:r>
        <w:t xml:space="preserve">and the Seller acknowledge that all data, designs, and proprietary information related to Project Águila-7 are the exclusive property of Aerodinámica del Pacífico S.A. de C.V. No portion of this</w:t>
      </w:r>
      <w:r>
        <w:t xml:space="preserve"> </w:t>
      </w:r>
      <w:r>
        <w:t xml:space="preserve">Purchase Order</w:t>
      </w:r>
      <w:r>
        <w:t xml:space="preserve"> </w:t>
      </w:r>
      <w:r>
        <w:t xml:space="preserve">or its associated deliverables may be disclosed to third parties without prior written consent from the Buyer.</w:t>
      </w:r>
    </w:p>
    <w:p>
      <w:pPr>
        <w:numPr>
          <w:ilvl w:val="0"/>
          <w:numId w:val="1001"/>
        </w:numPr>
        <w:pStyle w:val="Compact"/>
      </w:pPr>
      <w:r>
        <w:rPr>
          <w:bCs/>
          <w:b/>
        </w:rPr>
        <w:t xml:space="preserve">Compliance with Mexican Law:</w:t>
      </w:r>
      <w:r>
        <w:t xml:space="preserve"> </w:t>
      </w:r>
      <w:r>
        <w:t xml:space="preserve">This</w:t>
      </w:r>
      <w:r>
        <w:t xml:space="preserve"> </w:t>
      </w:r>
      <w:r>
        <w:t xml:space="preserve">Purchase Order</w:t>
      </w:r>
      <w:r>
        <w:t xml:space="preserve"> </w:t>
      </w:r>
      <w:r>
        <w:t xml:space="preserve">is governed by and shall be interpreted in accordance with the laws of the United Mexican States, specifically the federal regulations applicable to the aerospace sector in</w:t>
      </w:r>
      <w:r>
        <w:t xml:space="preserve"> </w:t>
      </w:r>
      <w:r>
        <w:t xml:space="preserve">Mexico Mexico City</w:t>
      </w:r>
      <w:r>
        <w:t xml:space="preserve"> </w:t>
      </w:r>
      <w:r>
        <w:t xml:space="preserve">and the national territory. Any disputes arising from this</w:t>
      </w:r>
      <w:r>
        <w:t xml:space="preserve"> </w:t>
      </w:r>
      <w:r>
        <w:t xml:space="preserve">Purchase Order</w:t>
      </w:r>
      <w:r>
        <w:t xml:space="preserve"> </w:t>
      </w:r>
      <w:r>
        <w:t xml:space="preserve">shall be resolved through binding arbitration administered by the Centro de Arbitraje y Conciliación (CEAC) in</w:t>
      </w:r>
      <w:r>
        <w:t xml:space="preserve"> </w:t>
      </w:r>
      <w:r>
        <w:t xml:space="preserve">Mexico Mexico City</w:t>
      </w:r>
      <w:r>
        <w:t xml:space="preserve">.</w:t>
      </w:r>
    </w:p>
    <w:p>
      <w:pPr>
        <w:numPr>
          <w:ilvl w:val="0"/>
          <w:numId w:val="1001"/>
        </w:numPr>
        <w:pStyle w:val="Compact"/>
      </w:pPr>
      <w:r>
        <w:rPr>
          <w:bCs/>
          <w:b/>
        </w:rPr>
        <w:t xml:space="preserve">Warranty of Services:</w:t>
      </w:r>
      <w:r>
        <w:t xml:space="preserve"> </w:t>
      </w:r>
      <w:r>
        <w:t xml:space="preserve">The Seller warrants that the</w:t>
      </w:r>
      <w:r>
        <w:t xml:space="preserve"> </w:t>
      </w:r>
      <w:r>
        <w:t xml:space="preserve">Aerospace Engineer</w:t>
      </w:r>
      <w:r>
        <w:t xml:space="preserve"> </w:t>
      </w:r>
      <w:r>
        <w:t xml:space="preserve">assigned to this</w:t>
      </w:r>
      <w:r>
        <w:t xml:space="preserve"> </w:t>
      </w:r>
      <w:r>
        <w:t xml:space="preserve">Purchase Order</w:t>
      </w:r>
      <w:r>
        <w:t xml:space="preserve"> </w:t>
      </w:r>
      <w:r>
        <w:t xml:space="preserve">shall perform all services with the skill, care, and diligence expected of a licensed professional in the aerospace engineering field in</w:t>
      </w:r>
      <w:r>
        <w:t xml:space="preserve"> </w:t>
      </w:r>
      <w:r>
        <w:t xml:space="preserve">Mexico Mexico City</w:t>
      </w:r>
      <w:r>
        <w:t xml:space="preserve">. Any errors or omissions in the delivered work shall be corrected at no additional cost within thirty (30) days of written notice from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by the</w:t>
      </w:r>
      <w:r>
        <w:t xml:space="preserve"> </w:t>
      </w:r>
      <w:r>
        <w:t xml:space="preserve">Aerospace Engineer</w:t>
      </w:r>
      <w:r>
        <w:t xml:space="preserve"> </w:t>
      </w:r>
      <w:r>
        <w:t xml:space="preserve">up to the date of termination, less any applicable deductions for incomplete deliverables.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w:t>
      </w:r>
      <w:r>
        <w:t xml:space="preserve"> </w:t>
      </w:r>
      <w:r>
        <w:t xml:space="preserve">Mexico Mexico City</w:t>
      </w:r>
      <w:r>
        <w:t xml:space="preserve">, government-mandated shutdowns, or acts of war, provided that the affected party notifies the other within five (5) business days.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an</w:t>
      </w:r>
      <w:r>
        <w:t xml:space="preserve"> </w:t>
      </w:r>
      <w:r>
        <w:t xml:space="preserve">Aerospace Engineer</w:t>
      </w:r>
      <w:r>
        <w:t xml:space="preserve"> </w:t>
      </w:r>
      <w:r>
        <w:t xml:space="preserve">in</w:t>
      </w:r>
      <w:r>
        <w:t xml:space="preserve"> </w:t>
      </w:r>
      <w:r>
        <w:t xml:space="preserve">Mexico Mexico City</w:t>
      </w:r>
      <w:r>
        <w:t xml:space="preserve">. This document constitutes a binding commercial agreement effective as of the date of the last signature.</w:t>
      </w:r>
    </w:p>
    <w:p>
      <w:pPr>
        <w:pStyle w:val="BodyText"/>
      </w:pPr>
      <w:r>
        <w:rPr>
          <w:bCs/>
          <w:b/>
        </w:rPr>
        <w:t xml:space="preserve">BUYER – Aerodinámica del Pacífico S.A. de C.V.</w:t>
      </w:r>
    </w:p>
    <w:p>
      <w:pPr>
        <w:pStyle w:val="BodyText"/>
      </w:pPr>
      <w:r>
        <w:rPr>
          <w:bCs/>
          <w:b/>
        </w:rPr>
        <w:t xml:space="preserve">Name:</w:t>
      </w:r>
      <w:r>
        <w:t xml:space="preserve"> </w:t>
      </w:r>
      <w:r>
        <w:t xml:space="preserve">Ing. María Fernanda Gutiérrez López</w:t>
      </w:r>
      <w:r>
        <w:br/>
      </w:r>
      <w:r>
        <w:rPr>
          <w:bCs/>
          <w:b/>
        </w:rPr>
        <w:t xml:space="preserve">Title:</w:t>
      </w:r>
      <w:r>
        <w:t xml:space="preserve"> </w:t>
      </w:r>
      <w:r>
        <w:t xml:space="preserve">Director de Ingeniería y Desarrollo</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SELLER – Ingeniería Aeroespacial Consultiva, S.C.</w:t>
      </w:r>
    </w:p>
    <w:p>
      <w:pPr>
        <w:pStyle w:val="BodyText"/>
      </w:pPr>
      <w:r>
        <w:rPr>
          <w:bCs/>
          <w:b/>
        </w:rPr>
        <w:t xml:space="preserve">Name:</w:t>
      </w:r>
      <w:r>
        <w:t xml:space="preserve"> </w:t>
      </w:r>
      <w:r>
        <w:t xml:space="preserve">Dr. Ricardo Salazar Mendoza</w:t>
      </w:r>
      <w:r>
        <w:br/>
      </w:r>
      <w:r>
        <w:rPr>
          <w:bCs/>
          <w:b/>
        </w:rPr>
        <w:t xml:space="preserve">Title:</w:t>
      </w:r>
      <w:r>
        <w:t xml:space="preserve"> </w:t>
      </w:r>
      <w:r>
        <w:t xml:space="preserve">Socio Director / Aerospace Engineer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bookmarkEnd w:id="25"/>
    <w:p>
      <w:pPr>
        <w:pStyle w:val="BodyText"/>
      </w:pPr>
      <w:r>
        <w:t xml:space="preserve">This Purchase Order (PO-MX-2025-04871) was issued in Mexico Mexico City, CDMX, México. For questions regarding this Purchase Order or the Aerospace Engineer engagement, please contact the Buyer's Procurement Department at procurement@aeropacifico.mx or +52 (55) 5512-3456, Ext. 204. This document is valid for a period of ninety (90) days from the date of issue. Unauthorized reproduction or distribution of this Purchase Order is strictly prohibited under Mexican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Mexico Mexico City</dc:title>
  <dc:creator/>
  <dc:language>en</dc:language>
  <cp:keywords/>
  <dcterms:created xsi:type="dcterms:W3CDTF">2026-10-10T02:37:18Z</dcterms:created>
  <dcterms:modified xsi:type="dcterms:W3CDTF">2026-10-10T02:37:18Z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