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rPr>
          <w:bCs/>
          <w:b/>
        </w:rPr>
        <w:t xml:space="preserve">Atelier Bâtiment &amp; Ingénierie SARL</w:t>
      </w:r>
    </w:p>
    <w:p>
      <w:pPr>
        <w:pStyle w:val="BodyText"/>
      </w:pPr>
      <w:r>
        <w:t xml:space="preserve">12, Rue Didouche Mourad, Hydra, 16000 Algiers, Algeria</w:t>
      </w:r>
    </w:p>
    <w:p>
      <w:pPr>
        <w:pStyle w:val="BodyText"/>
      </w:pPr>
      <w:r>
        <w:t xml:space="preserve">RC: 16/00-1234567B23 | NIF: 000123456789012 | NIS: 000123456789012</w:t>
      </w:r>
    </w:p>
    <w:p>
      <w:pPr>
        <w:pStyle w:val="BodyText"/>
      </w:pPr>
      <w:r>
        <w:t xml:space="preserve">Tel: +213 (0)23 45 67 89 | Email: procurement@atelier-batiment.dz</w:t>
      </w:r>
    </w:p>
    <w:bookmarkEnd w:id="20"/>
    <w:p>
      <w:pPr>
        <w:pStyle w:val="BodyText"/>
      </w:pPr>
      <w:r>
        <w:rPr>
          <w:bCs/>
          <w:b/>
        </w:rPr>
        <w:t xml:space="preserve">Purchase Order No.:</w:t>
      </w:r>
      <w:r>
        <w:t xml:space="preserve"> </w:t>
      </w:r>
      <w:r>
        <w:t xml:space="preserve">PO-2025-ALG-00472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PRJ-ALG-2025-089</w:t>
      </w:r>
    </w:p>
    <w:p>
      <w:pPr>
        <w:pStyle w:val="BodyText"/>
      </w:pPr>
      <w:r>
        <w:rPr>
          <w:bCs/>
          <w:b/>
        </w:rPr>
        <w:t xml:space="preserve">Location:</w:t>
      </w:r>
      <w:r>
        <w:t xml:space="preserve"> </w:t>
      </w:r>
      <w:r>
        <w:t xml:space="preserve">Algeria Algiers, Hydra District</w:t>
      </w:r>
    </w:p>
    <w:p>
      <w:pPr>
        <w:pStyle w:val="BodyText"/>
      </w:pPr>
      <w:r>
        <w:rPr>
          <w:bCs/>
          <w:b/>
        </w:rPr>
        <w:t xml:space="preserve">Priority:</w:t>
      </w:r>
      <w:r>
        <w:t xml:space="preserve"> </w:t>
      </w:r>
      <w:r>
        <w:t xml:space="preserve">High</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Cabinet d'Architecture Benali &amp; Associés</w:t>
            </w:r>
          </w:p>
        </w:tc>
      </w:tr>
      <w:tr>
        <w:tc>
          <w:tcPr/>
          <w:p>
            <w:pPr>
              <w:pStyle w:val="Compact"/>
              <w:jc w:val="left"/>
            </w:pPr>
            <w:r>
              <w:rPr>
                <w:bCs/>
                <w:b/>
              </w:rPr>
              <w:t xml:space="preserve">Architect of Record</w:t>
            </w:r>
          </w:p>
        </w:tc>
        <w:tc>
          <w:tcPr/>
          <w:p>
            <w:pPr>
              <w:pStyle w:val="Compact"/>
              <w:jc w:val="left"/>
            </w:pPr>
            <w:r>
              <w:t xml:space="preserve">Mr. Karim Benali, Diplômé d'État en Architecture (DEA), Ordre des Architectes d'Algérie, Member No. 16-0045</w:t>
            </w:r>
          </w:p>
        </w:tc>
      </w:tr>
      <w:tr>
        <w:tc>
          <w:tcPr/>
          <w:p>
            <w:pPr>
              <w:pStyle w:val="Compact"/>
              <w:jc w:val="left"/>
            </w:pPr>
            <w:r>
              <w:rPr>
                <w:bCs/>
                <w:b/>
              </w:rPr>
              <w:t xml:space="preserve">Address</w:t>
            </w:r>
          </w:p>
        </w:tc>
        <w:tc>
          <w:tcPr/>
          <w:p>
            <w:pPr>
              <w:pStyle w:val="Compact"/>
              <w:jc w:val="left"/>
            </w:pPr>
            <w:r>
              <w:t xml:space="preserve">45, Boulevard Zighout Youcef, 16000 Algiers, Algeria</w:t>
            </w:r>
          </w:p>
        </w:tc>
      </w:tr>
      <w:tr>
        <w:tc>
          <w:tcPr/>
          <w:p>
            <w:pPr>
              <w:pStyle w:val="Compact"/>
              <w:jc w:val="left"/>
            </w:pPr>
            <w:r>
              <w:rPr>
                <w:bCs/>
                <w:b/>
              </w:rPr>
              <w:t xml:space="preserve">Contact</w:t>
            </w:r>
          </w:p>
        </w:tc>
        <w:tc>
          <w:tcPr/>
          <w:p>
            <w:pPr>
              <w:pStyle w:val="Compact"/>
              <w:jc w:val="left"/>
            </w:pPr>
            <w:r>
              <w:t xml:space="preserve">Tel: +213 (0)23 55 44 33 | Email: k.benali@archi-benali.dz</w:t>
            </w:r>
          </w:p>
        </w:tc>
      </w:tr>
      <w:tr>
        <w:tc>
          <w:tcPr/>
          <w:p>
            <w:pPr>
              <w:pStyle w:val="Compact"/>
              <w:jc w:val="left"/>
            </w:pPr>
            <w:r>
              <w:rPr>
                <w:bCs/>
                <w:b/>
              </w:rPr>
              <w:t xml:space="preserve">Professional License</w:t>
            </w:r>
          </w:p>
        </w:tc>
        <w:tc>
          <w:tcPr/>
          <w:p>
            <w:pPr>
              <w:pStyle w:val="Compact"/>
              <w:jc w:val="left"/>
            </w:pPr>
            <w:r>
              <w:t xml:space="preserve">Architect License No. ALG-ARC-2019-0087, issued by the Ministry of Housing and Urban Planning, Algeria</w:t>
            </w:r>
          </w:p>
        </w:tc>
      </w:tr>
      <w:tr>
        <w:tc>
          <w:tcPr/>
          <w:p>
            <w:pPr>
              <w:pStyle w:val="Compact"/>
              <w:jc w:val="left"/>
            </w:pPr>
            <w:r>
              <w:rPr>
                <w:bCs/>
                <w:b/>
              </w:rPr>
              <w:t xml:space="preserve">Bank Details</w:t>
            </w:r>
          </w:p>
        </w:tc>
        <w:tc>
          <w:tcPr/>
          <w:p>
            <w:pPr>
              <w:pStyle w:val="Compact"/>
              <w:jc w:val="left"/>
            </w:pPr>
            <w:r>
              <w:t xml:space="preserve">BNA Algiers – Hydra Branch | RIB: 007 00012 3456789012 34 | IBAN: DZ76 0070 0012 3456 7890 1234</w:t>
            </w:r>
          </w:p>
        </w:tc>
      </w:tr>
    </w:tbl>
    <w:bookmarkEnd w:id="21"/>
    <w:bookmarkStart w:id="22" w:name="Xcbe46c9c2d45f6da966429e85a45c40a15889d5"/>
    <w:p>
      <w:pPr>
        <w:pStyle w:val="Heading2"/>
      </w:pPr>
      <w:r>
        <w:t xml:space="preserve">2. Description of Services – Architect Engagement</w:t>
      </w:r>
    </w:p>
    <w:p>
      <w:pPr>
        <w:pStyle w:val="FirstParagraph"/>
      </w:pPr>
      <w:r>
        <w:t xml:space="preserve">This Purchase Order is issued by Atelier Bâtiment &amp; Ingénierie SARL (hereinafter referred to as the "Client") to formally engage the services of Cabinet d'Architecture Benali &amp; Associés (hereinafter referred to as the "Architect") for the design, planning, and architectural supervision of a mixed-use commercial and residential building located in the Hydra district of Algeria Algiers. The Architect shall be responsible for all phases of architectural design in full compliance with the Algerian Urban Planning Code (Code de l'Urbanisme et de la Construction), the local zoning regulations of the Wilaya of Algiers, and all applicable national building standards.</w:t>
      </w:r>
    </w:p>
    <w:p>
      <w:pPr>
        <w:pStyle w:val="BodyText"/>
      </w:pPr>
      <w:r>
        <w:t xml:space="preserve">The scope of work for the Architect encompasses, but is not limited to: preliminary site analysis and feasibility studies; conceptual design development; production of full architectural drawings (floor plans, elevations, sections, and details); structural coordination; interior design specifications; landscape architecture integration; preparation of all documentation required for the building permit (permis de construire) from the Direction de l'Urbanisme et de la Construction de la Wilaya d'Algiers; and on-site architectural supervision during the construction phase.</w:t>
      </w:r>
    </w:p>
    <w:bookmarkEnd w:id="22"/>
    <w:bookmarkStart w:id="23" w:name="schedule-of-deliverables-and-fees"/>
    <w:p>
      <w:pPr>
        <w:pStyle w:val="Heading2"/>
      </w:pPr>
      <w:r>
        <w:t xml:space="preserve">3. Schedule of Deliverables and Fees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Phase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Site survey, topographic analysis, and feasibility report for the Algeria Algiers plot</w:t>
            </w:r>
          </w:p>
        </w:tc>
        <w:tc>
          <w:tcPr/>
          <w:p>
            <w:pPr>
              <w:pStyle w:val="Compact"/>
              <w:jc w:val="left"/>
            </w:pPr>
            <w:r>
              <w:t xml:space="preserve">Phase 1</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Conceptual design package (3 options) with 3D renderings</w:t>
            </w:r>
          </w:p>
        </w:tc>
        <w:tc>
          <w:tcPr/>
          <w:p>
            <w:pPr>
              <w:pStyle w:val="Compact"/>
              <w:jc w:val="left"/>
            </w:pPr>
            <w:r>
              <w:t xml:space="preserve">Phase 2</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Detailed architectural drawings, specifications, and BOQ preparation</w:t>
            </w:r>
          </w:p>
        </w:tc>
        <w:tc>
          <w:tcPr/>
          <w:p>
            <w:pPr>
              <w:pStyle w:val="Compact"/>
              <w:jc w:val="left"/>
            </w:pPr>
            <w:r>
              <w:t xml:space="preserve">Phase 3</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Building permit application preparation and submission to Algiers municipal authorities</w:t>
            </w:r>
          </w:p>
        </w:tc>
        <w:tc>
          <w:tcPr/>
          <w:p>
            <w:pPr>
              <w:pStyle w:val="Compact"/>
              <w:jc w:val="left"/>
            </w:pPr>
            <w:r>
              <w:t xml:space="preserve">Phase 3</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On-site architectural supervision (18 months, 3 visits per month)</w:t>
            </w:r>
          </w:p>
        </w:tc>
        <w:tc>
          <w:tcPr/>
          <w:p>
            <w:pPr>
              <w:pStyle w:val="Compact"/>
              <w:jc w:val="left"/>
            </w:pPr>
            <w:r>
              <w:t xml:space="preserve">Phase 4</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180,000</w:t>
            </w:r>
          </w:p>
        </w:tc>
        <w:tc>
          <w:tcPr/>
          <w:p>
            <w:pPr>
              <w:pStyle w:val="Compact"/>
              <w:jc w:val="left"/>
            </w:pPr>
            <w:r>
              <w:t xml:space="preserve">3,240,000</w:t>
            </w:r>
          </w:p>
        </w:tc>
      </w:tr>
      <w:tr>
        <w:tc>
          <w:tcPr/>
          <w:p>
            <w:pPr>
              <w:pStyle w:val="Compact"/>
              <w:jc w:val="left"/>
            </w:pPr>
            <w:r>
              <w:t xml:space="preserve">06</w:t>
            </w:r>
          </w:p>
        </w:tc>
        <w:tc>
          <w:tcPr/>
          <w:p>
            <w:pPr>
              <w:pStyle w:val="Compact"/>
              <w:jc w:val="left"/>
            </w:pPr>
            <w:r>
              <w:t xml:space="preserve">As-built documentation and final handover report</w:t>
            </w:r>
          </w:p>
        </w:tc>
        <w:tc>
          <w:tcPr/>
          <w:p>
            <w:pPr>
              <w:pStyle w:val="Compact"/>
              <w:jc w:val="left"/>
            </w:pPr>
            <w:r>
              <w:t xml:space="preserve">Phase 5</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gridSpan w:val="6"/>
          </w:tcPr>
          <w:p>
            <w:pPr>
              <w:pStyle w:val="Compact"/>
              <w:jc w:val="right"/>
            </w:pPr>
            <w:r>
              <w:t xml:space="preserve">SUBTOTAL (DZD)</w:t>
            </w:r>
          </w:p>
        </w:tc>
        <w:tc>
          <w:tcPr/>
          <w:p>
            <w:pPr>
              <w:pStyle w:val="Compact"/>
              <w:jc w:val="left"/>
            </w:pPr>
            <w:r>
              <w:t xml:space="preserve">8,540,000</w:t>
            </w:r>
          </w:p>
        </w:tc>
      </w:tr>
      <w:tr>
        <w:tc>
          <w:tcPr>
            <w:gridSpan w:val="6"/>
          </w:tcPr>
          <w:p>
            <w:pPr>
              <w:pStyle w:val="Compact"/>
              <w:jc w:val="right"/>
            </w:pPr>
            <w:r>
              <w:t xml:space="preserve">VAT (19%) – Algeria</w:t>
            </w:r>
          </w:p>
        </w:tc>
        <w:tc>
          <w:tcPr/>
          <w:p>
            <w:pPr>
              <w:pStyle w:val="Compact"/>
              <w:jc w:val="left"/>
            </w:pPr>
            <w:r>
              <w:t xml:space="preserve">1,622,600</w:t>
            </w:r>
          </w:p>
        </w:tc>
      </w:tr>
      <w:tr>
        <w:tc>
          <w:tcPr>
            <w:gridSpan w:val="6"/>
          </w:tcPr>
          <w:p>
            <w:pPr>
              <w:pStyle w:val="Compact"/>
              <w:jc w:val="right"/>
            </w:pPr>
            <w:r>
              <w:t xml:space="preserve">GRAND TOTAL (DZD)</w:t>
            </w:r>
          </w:p>
        </w:tc>
        <w:tc>
          <w:tcPr/>
          <w:p>
            <w:pPr>
              <w:pStyle w:val="Compact"/>
              <w:jc w:val="left"/>
            </w:pPr>
            <w:r>
              <w:t xml:space="preserve">10,162,600</w:t>
            </w:r>
          </w:p>
        </w:tc>
      </w:tr>
    </w:tbl>
    <w:bookmarkEnd w:id="23"/>
    <w:bookmarkStart w:id="24" w:name="payment-terms"/>
    <w:p>
      <w:pPr>
        <w:pStyle w:val="Heading2"/>
      </w:pPr>
      <w:r>
        <w:t xml:space="preserve">4. Payment Terms</w:t>
      </w:r>
    </w:p>
    <w:p>
      <w:pPr>
        <w:pStyle w:val="FirstParagraph"/>
      </w:pPr>
      <w:r>
        <w:t xml:space="preserve">Payment for the Architect's services under this Purchase Order shall be made in Algerian Dinars (DZD) via bank transfer to the account specified in Section 1. The payment schedule is as follows: 20% advance payment upon signature of this Purchase Order; 30% upon approval of the conceptual design; 30% upon submission of detailed drawings and receipt of the building permit; and 20% upon completion of the on-site supervision phase and delivery of as-built documentation. Invoices must be submitted in triplicate and must reference this Purchase Order number (PO-2025-ALG-00472). Payment shall be processed within thirty (30) calendar days of receipt of a valid invoice. Late payments shall accrue interest at the rate of 1.5% per month in accordance with Algerian commercial law.</w:t>
      </w:r>
    </w:p>
    <w:bookmarkEnd w:id="24"/>
    <w:bookmarkStart w:id="25" w:name="terms-and-conditions"/>
    <w:p>
      <w:pPr>
        <w:pStyle w:val="Heading2"/>
      </w:pPr>
      <w:r>
        <w:t xml:space="preserve">5. Terms and Conditions</w:t>
      </w:r>
    </w:p>
    <w:p>
      <w:pPr>
        <w:pStyle w:val="FirstParagraph"/>
      </w:pPr>
      <w:r>
        <w:t xml:space="preserve">5.1 This Purchase Order is governed by the laws of the People's Democratic Republic of Algeria, including the Algerian Civil Code, the Commercial Code, and the specific regulations governing the architectural profession as set forth by the Ordre des Architectes d'Algérie.</w:t>
      </w:r>
    </w:p>
    <w:p>
      <w:pPr>
        <w:pStyle w:val="BodyText"/>
      </w:pPr>
      <w:r>
        <w:t xml:space="preserve">5.2 The Architect warrants that all deliverables shall be original, free from intellectual property infringement, and compliant with the Algerian building code (Réglementation de construction parasismique – RPA 2021) and the thermal regulations applicable in the Algeria Algiers climate zone.</w:t>
      </w:r>
    </w:p>
    <w:p>
      <w:pPr>
        <w:pStyle w:val="BodyText"/>
      </w:pPr>
      <w:r>
        <w:t xml:space="preserve">5.3 The Architect shall maintain professional liability insurance with a minimum coverage of 50,000,000 DZD throughout the duration of the engagement. A certificate of insurance shall be provided prior to the commencement of Phase 2.</w:t>
      </w:r>
    </w:p>
    <w:p>
      <w:pPr>
        <w:pStyle w:val="BodyText"/>
      </w:pPr>
      <w:r>
        <w:t xml:space="preserve">5.4 Any modifications to the scope of work must be agreed upon in writing through a formal amendment to this Purchase Order. The Client reserves the right to request up to three (3) design revisions per phase at no additional cost; further revisions shall be billed at the Architect's standard hourly rate of 8,000 DZD per hour.</w:t>
      </w:r>
    </w:p>
    <w:p>
      <w:pPr>
        <w:pStyle w:val="BodyText"/>
      </w:pPr>
      <w:r>
        <w:t xml:space="preserve">5.5 The Architect shall comply with all data protection and confidentiality obligations. All project documents, site plans, and proprietary information related to this project in Algeria Algiers shall be treated as confidential and shall not be disclosed to third parties without prior written consent from the Client.</w:t>
      </w:r>
    </w:p>
    <w:p>
      <w:pPr>
        <w:pStyle w:val="BodyText"/>
      </w:pPr>
      <w:r>
        <w:t xml:space="preserve">5.6 In the event of a dispute arising from this Purchase Order, the parties shall first attempt resolution through amicable negotiation. Failing resolution within thirty (30) days, the matter shall be submitted to the competent commercial court of Algiers, Algeria.</w:t>
      </w:r>
    </w:p>
    <w:bookmarkEnd w:id="25"/>
    <w:bookmarkStart w:id="26" w:name="project-timeline"/>
    <w:p>
      <w:pPr>
        <w:pStyle w:val="Heading2"/>
      </w:pPr>
      <w:r>
        <w:t xml:space="preserve">6.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Phase 1 – Site Analysis</w:t>
            </w:r>
          </w:p>
        </w:tc>
        <w:tc>
          <w:tcPr/>
          <w:p>
            <w:pPr>
              <w:pStyle w:val="Compact"/>
              <w:jc w:val="left"/>
            </w:pPr>
            <w:r>
              <w:t xml:space="preserve">30 June 2025</w:t>
            </w:r>
          </w:p>
        </w:tc>
        <w:tc>
          <w:tcPr/>
          <w:p>
            <w:pPr>
              <w:pStyle w:val="Compact"/>
              <w:jc w:val="left"/>
            </w:pPr>
            <w:r>
              <w:t xml:space="preserve">Feasibility Report</w:t>
            </w:r>
          </w:p>
        </w:tc>
      </w:tr>
      <w:tr>
        <w:tc>
          <w:tcPr/>
          <w:p>
            <w:pPr>
              <w:pStyle w:val="Compact"/>
              <w:jc w:val="left"/>
            </w:pPr>
            <w:r>
              <w:t xml:space="preserve">Phase 2 – Conceptual Design</w:t>
            </w:r>
          </w:p>
        </w:tc>
        <w:tc>
          <w:tcPr/>
          <w:p>
            <w:pPr>
              <w:pStyle w:val="Compact"/>
              <w:jc w:val="left"/>
            </w:pPr>
            <w:r>
              <w:t xml:space="preserve">31 August 2025</w:t>
            </w:r>
          </w:p>
        </w:tc>
        <w:tc>
          <w:tcPr/>
          <w:p>
            <w:pPr>
              <w:pStyle w:val="Compact"/>
              <w:jc w:val="left"/>
            </w:pPr>
            <w:r>
              <w:t xml:space="preserve">Design Package + 3D Models</w:t>
            </w:r>
          </w:p>
        </w:tc>
      </w:tr>
      <w:tr>
        <w:tc>
          <w:tcPr/>
          <w:p>
            <w:pPr>
              <w:pStyle w:val="Compact"/>
              <w:jc w:val="left"/>
            </w:pPr>
            <w:r>
              <w:t xml:space="preserve">Phase 3 – Detailed Design &amp; Permit</w:t>
            </w:r>
          </w:p>
        </w:tc>
        <w:tc>
          <w:tcPr/>
          <w:p>
            <w:pPr>
              <w:pStyle w:val="Compact"/>
              <w:jc w:val="left"/>
            </w:pPr>
            <w:r>
              <w:t xml:space="preserve">30 November 2025</w:t>
            </w:r>
          </w:p>
        </w:tc>
        <w:tc>
          <w:tcPr/>
          <w:p>
            <w:pPr>
              <w:pStyle w:val="Compact"/>
              <w:jc w:val="left"/>
            </w:pPr>
            <w:r>
              <w:t xml:space="preserve">Full Drawings + Permis de Construire</w:t>
            </w:r>
          </w:p>
        </w:tc>
      </w:tr>
      <w:tr>
        <w:tc>
          <w:tcPr/>
          <w:p>
            <w:pPr>
              <w:pStyle w:val="Compact"/>
              <w:jc w:val="left"/>
            </w:pPr>
            <w:r>
              <w:t xml:space="preserve">Phase 4 – Construction Supervision</w:t>
            </w:r>
          </w:p>
        </w:tc>
        <w:tc>
          <w:tcPr/>
          <w:p>
            <w:pPr>
              <w:pStyle w:val="Compact"/>
              <w:jc w:val="left"/>
            </w:pPr>
            <w:r>
              <w:t xml:space="preserve">31 May 2027</w:t>
            </w:r>
          </w:p>
        </w:tc>
        <w:tc>
          <w:tcPr/>
          <w:p>
            <w:pPr>
              <w:pStyle w:val="Compact"/>
              <w:jc w:val="left"/>
            </w:pPr>
            <w:r>
              <w:t xml:space="preserve">Monthly Supervision Reports</w:t>
            </w:r>
          </w:p>
        </w:tc>
      </w:tr>
      <w:tr>
        <w:tc>
          <w:tcPr/>
          <w:p>
            <w:pPr>
              <w:pStyle w:val="Compact"/>
              <w:jc w:val="left"/>
            </w:pPr>
            <w:r>
              <w:t xml:space="preserve">Phase 5 – Handover</w:t>
            </w:r>
          </w:p>
        </w:tc>
        <w:tc>
          <w:tcPr/>
          <w:p>
            <w:pPr>
              <w:pStyle w:val="Compact"/>
              <w:jc w:val="left"/>
            </w:pPr>
            <w:r>
              <w:t xml:space="preserve">30 June 2027</w:t>
            </w:r>
          </w:p>
        </w:tc>
        <w:tc>
          <w:tcPr/>
          <w:p>
            <w:pPr>
              <w:pStyle w:val="Compact"/>
              <w:jc w:val="left"/>
            </w:pPr>
            <w:r>
              <w:t xml:space="preserve">As-Built Documentation</w:t>
            </w:r>
          </w:p>
        </w:tc>
      </w:tr>
    </w:tbl>
    <w:bookmarkEnd w:id="26"/>
    <w:p>
      <w:pPr>
        <w:pStyle w:val="BodyText"/>
      </w:pPr>
      <w:r>
        <w:rPr>
          <w:bCs/>
          <w:b/>
        </w:rPr>
        <w:t xml:space="preserve">Important Notes:</w:t>
      </w:r>
      <w:r>
        <w:t xml:space="preserve"> </w:t>
      </w:r>
      <w:r>
        <w:t xml:space="preserve">This Purchase Order is valid for acceptance within thirty (30) days of the issue date. The Architect must confirm acceptance in writing by returning a signed copy of this document. All communications regarding this Purchase Order shall be directed to the procurement department of Atelier Bâtiment &amp; Ingénierie SARL, Algiers, Algeria. This document constitutes a binding contractual agreement upon countersignature by both parties. The Architect acknowledges that all work shall be performed in accordance with the professional ethics and standards established by the Ordre des Architectes d'Algérie and the relevant decrees of the Ministry of Housing, Urban Planning, and the City (Ministère de l'Habitat, de l'Urbanisme et de la Ville).</w:t>
      </w:r>
    </w:p>
    <w:p>
      <w:pPr>
        <w:pStyle w:val="BodyText"/>
      </w:pPr>
      <w:r>
        <w:rPr>
          <w:bCs/>
          <w:b/>
        </w:rPr>
        <w:t xml:space="preserve">For and on behalf of the Client:</w:t>
      </w:r>
    </w:p>
    <w:p>
      <w:pPr>
        <w:pStyle w:val="BodyText"/>
      </w:pPr>
      <w:r>
        <w:t xml:space="preserve">Atelier Bâtiment &amp; Ingénierie SARL</w:t>
      </w:r>
    </w:p>
    <w:p>
      <w:pPr>
        <w:pStyle w:val="BodyText"/>
      </w:pPr>
      <w:r>
        <w:t xml:space="preserve">Name: ___________________________</w:t>
      </w:r>
    </w:p>
    <w:p>
      <w:pPr>
        <w:pStyle w:val="BodyText"/>
      </w:pPr>
      <w:r>
        <w:t xml:space="preserve">Title: Director of Procurement</w:t>
      </w:r>
    </w:p>
    <w:p>
      <w:pPr>
        <w:pStyle w:val="BodyText"/>
      </w:pPr>
      <w:r>
        <w:t xml:space="preserve">Signature &amp; Company Seal:</w:t>
      </w:r>
    </w:p>
    <w:p>
      <w:pPr>
        <w:pStyle w:val="BodyText"/>
      </w:pPr>
      <w:r>
        <w:t xml:space="preserve">Date: ___________________________</w:t>
      </w:r>
    </w:p>
    <w:p>
      <w:pPr>
        <w:pStyle w:val="BodyText"/>
      </w:pPr>
      <w:r>
        <w:rPr>
          <w:bCs/>
          <w:b/>
        </w:rPr>
        <w:t xml:space="preserve">For and on behalf of the Architect:</w:t>
      </w:r>
    </w:p>
    <w:p>
      <w:pPr>
        <w:pStyle w:val="BodyText"/>
      </w:pPr>
      <w:r>
        <w:t xml:space="preserve">Cabinet d'Architecture Benali &amp; Associés</w:t>
      </w:r>
    </w:p>
    <w:p>
      <w:pPr>
        <w:pStyle w:val="BodyText"/>
      </w:pPr>
      <w:r>
        <w:t xml:space="preserve">Name: Karim Benali, Architect</w:t>
      </w:r>
    </w:p>
    <w:p>
      <w:pPr>
        <w:pStyle w:val="BodyText"/>
      </w:pPr>
      <w:r>
        <w:t xml:space="preserve">Title: Principal Architect</w:t>
      </w:r>
    </w:p>
    <w:p>
      <w:pPr>
        <w:pStyle w:val="BodyText"/>
      </w:pPr>
      <w:r>
        <w:t xml:space="preserve">Signature &amp; Professional Seal:</w:t>
      </w:r>
    </w:p>
    <w:p>
      <w:pPr>
        <w:pStyle w:val="BodyText"/>
      </w:pPr>
      <w:r>
        <w:t xml:space="preserve">Date: ___________________________</w:t>
      </w:r>
    </w:p>
    <w:p>
      <w:pPr>
        <w:pStyle w:val="BodyText"/>
      </w:pPr>
      <w:r>
        <w:t xml:space="preserve">Purchase Order No. PO-2025-ALG-00472 | Issued in Algeria Algiers | Page 1 of 1</w:t>
      </w:r>
    </w:p>
    <w:p>
      <w:pPr>
        <w:pStyle w:val="BodyText"/>
      </w:pPr>
      <w:r>
        <w:t xml:space="preserve">This document is the property of Atelier Bâtiment &amp; Ingénierie SARL. Unauthorized reproduction or distribution is prohibited under Algerian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Algeria Algiers</dc:title>
  <dc:creator/>
  <dc:language>en</dc:language>
  <cp:keywords/>
  <dcterms:created xsi:type="dcterms:W3CDTF">2026-10-10T01:16:11Z</dcterms:created>
  <dcterms:modified xsi:type="dcterms:W3CDTF">2026-10-10T01:16:11Z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