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urchase-order"/>
    <w:p>
      <w:pPr>
        <w:pStyle w:val="Heading1"/>
      </w:pPr>
      <w:r>
        <w:t xml:space="preserve">PURCHASE ORDER</w:t>
      </w:r>
    </w:p>
    <w:p>
      <w:pPr>
        <w:pStyle w:val="FirstParagraph"/>
      </w:pPr>
      <w:r>
        <w:t xml:space="preserve">Professional Architectural Services — Buenos Aires, Argentina</w:t>
      </w:r>
    </w:p>
    <w:p>
      <w:pPr>
        <w:pStyle w:val="BodyText"/>
      </w:pPr>
      <w:r>
        <w:t xml:space="preserve">PO No.: BA-ARCH-2025-0047</w:t>
      </w:r>
    </w:p>
    <w:p>
      <w:pPr>
        <w:pStyle w:val="BodyText"/>
      </w:pPr>
      <w:r>
        <w:t xml:space="preserve">Issue Date: 15 June 2025  |  Valid Until: 15 July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Edificios del Sur S.A.</w:t>
      </w:r>
    </w:p>
    <w:p>
      <w:pPr>
        <w:pStyle w:val="BodyText"/>
      </w:pPr>
      <w:r>
        <w:rPr>
          <w:bCs/>
          <w:b/>
        </w:rPr>
        <w:t xml:space="preserve">CUIT:</w:t>
      </w:r>
      <w:r>
        <w:t xml:space="preserve"> </w:t>
      </w:r>
      <w:r>
        <w:t xml:space="preserve">30-71234567-8</w:t>
      </w:r>
    </w:p>
    <w:p>
      <w:pPr>
        <w:pStyle w:val="BodyText"/>
      </w:pPr>
      <w:r>
        <w:rPr>
          <w:bCs/>
          <w:b/>
        </w:rPr>
        <w:t xml:space="preserve">Address:</w:t>
      </w:r>
      <w:r>
        <w:t xml:space="preserve"> </w:t>
      </w:r>
      <w:r>
        <w:t xml:space="preserve">Av. Corrientes 2340, Piso 12, C1043AAB, Buenos Aires, Argentina</w:t>
      </w:r>
    </w:p>
    <w:p>
      <w:pPr>
        <w:pStyle w:val="BodyText"/>
      </w:pPr>
      <w:r>
        <w:rPr>
          <w:bCs/>
          <w:b/>
        </w:rPr>
        <w:t xml:space="preserve">Contact:</w:t>
      </w:r>
      <w:r>
        <w:t xml:space="preserve"> </w:t>
      </w:r>
      <w:r>
        <w:t xml:space="preserve">Ing. Mariana López</w:t>
      </w:r>
    </w:p>
    <w:p>
      <w:pPr>
        <w:pStyle w:val="BodyText"/>
      </w:pPr>
      <w:r>
        <w:rPr>
          <w:bCs/>
          <w:b/>
        </w:rPr>
        <w:t xml:space="preserve">Email:</w:t>
      </w:r>
      <w:r>
        <w:t xml:space="preserve"> </w:t>
      </w:r>
      <w:r>
        <w:t xml:space="preserve">compras@edificiosdelsur.com.ar</w:t>
      </w:r>
    </w:p>
    <w:p>
      <w:pPr>
        <w:pStyle w:val="BodyText"/>
      </w:pPr>
      <w:r>
        <w:rPr>
          <w:bCs/>
          <w:b/>
        </w:rPr>
        <w:t xml:space="preserve">Phone:</w:t>
      </w:r>
      <w:r>
        <w:t xml:space="preserve"> </w:t>
      </w:r>
      <w:r>
        <w:t xml:space="preserve">+54 11 4321-5678</w:t>
      </w:r>
    </w:p>
    <w:bookmarkEnd w:id="21"/>
    <w:bookmarkStart w:id="22" w:name="supplier-architect"/>
    <w:p>
      <w:pPr>
        <w:pStyle w:val="Heading3"/>
      </w:pPr>
      <w:r>
        <w:t xml:space="preserve">Supplier (Architect)</w:t>
      </w:r>
    </w:p>
    <w:p>
      <w:pPr>
        <w:pStyle w:val="FirstParagraph"/>
      </w:pPr>
      <w:r>
        <w:rPr>
          <w:bCs/>
          <w:b/>
        </w:rPr>
        <w:t xml:space="preserve">Firm:</w:t>
      </w:r>
      <w:r>
        <w:t xml:space="preserve"> </w:t>
      </w:r>
      <w:r>
        <w:t xml:space="preserve">Estudio Arquitectónico Vega &amp; Asociados</w:t>
      </w:r>
    </w:p>
    <w:p>
      <w:pPr>
        <w:pStyle w:val="BodyText"/>
      </w:pPr>
      <w:r>
        <w:rPr>
          <w:bCs/>
          <w:b/>
        </w:rPr>
        <w:t xml:space="preserve">CUIT:</w:t>
      </w:r>
      <w:r>
        <w:t xml:space="preserve"> </w:t>
      </w:r>
      <w:r>
        <w:t xml:space="preserve">30-69876543-2</w:t>
      </w:r>
    </w:p>
    <w:p>
      <w:pPr>
        <w:pStyle w:val="BodyText"/>
      </w:pPr>
      <w:r>
        <w:rPr>
          <w:bCs/>
          <w:b/>
        </w:rPr>
        <w:t xml:space="preserve">Address:</w:t>
      </w:r>
      <w:r>
        <w:t xml:space="preserve"> </w:t>
      </w:r>
      <w:r>
        <w:t xml:space="preserve">Calle Sarmiento 1876, C1041AAE, San Telmo, Buenos Aires, Argentina</w:t>
      </w:r>
    </w:p>
    <w:p>
      <w:pPr>
        <w:pStyle w:val="BodyText"/>
      </w:pPr>
      <w:r>
        <w:rPr>
          <w:bCs/>
          <w:b/>
        </w:rPr>
        <w:t xml:space="preserve">Lead Architect:</w:t>
      </w:r>
      <w:r>
        <w:t xml:space="preserve"> </w:t>
      </w:r>
      <w:r>
        <w:t xml:space="preserve">Arq. Ricardo Vega, M.Arch.</w:t>
      </w:r>
    </w:p>
    <w:p>
      <w:pPr>
        <w:pStyle w:val="BodyText"/>
      </w:pPr>
      <w:r>
        <w:rPr>
          <w:bCs/>
          <w:b/>
        </w:rPr>
        <w:t xml:space="preserve">Professional License:</w:t>
      </w:r>
      <w:r>
        <w:t xml:space="preserve"> </w:t>
      </w:r>
      <w:r>
        <w:t xml:space="preserve">CPBA Mat. Nº 12.847</w:t>
      </w:r>
    </w:p>
    <w:p>
      <w:pPr>
        <w:pStyle w:val="BodyText"/>
      </w:pPr>
      <w:r>
        <w:rPr>
          <w:bCs/>
          <w:b/>
        </w:rPr>
        <w:t xml:space="preserve">Email:</w:t>
      </w:r>
      <w:r>
        <w:t xml:space="preserve"> </w:t>
      </w:r>
      <w:r>
        <w:t xml:space="preserve">contacto@vegaarquitectos.com.ar</w:t>
      </w:r>
    </w:p>
    <w:p>
      <w:pPr>
        <w:pStyle w:val="BodyText"/>
      </w:pPr>
      <w:r>
        <w:rPr>
          <w:bCs/>
          <w:b/>
        </w:rPr>
        <w:t xml:space="preserve">Phone:</w:t>
      </w:r>
      <w:r>
        <w:t xml:space="preserve"> </w:t>
      </w:r>
      <w:r>
        <w:t xml:space="preserve">+54 11 4567-8901</w:t>
      </w:r>
    </w:p>
    <w:bookmarkEnd w:id="22"/>
    <w:bookmarkStart w:id="23" w:name="project-description"/>
    <w:p>
      <w:pPr>
        <w:pStyle w:val="Heading2"/>
      </w:pPr>
      <w:r>
        <w:t xml:space="preserve">Project Description</w:t>
      </w:r>
    </w:p>
    <w:p>
      <w:pPr>
        <w:pStyle w:val="FirstParagraph"/>
      </w:pPr>
      <w:r>
        <w:t xml:space="preserve">This Purchase Order is issued by Edificios del Sur S.A. to engage the professional services of Estudio Arquitectónico Vega &amp; Asociados, a registered architectural firm operating in the City of Buenos Aires, Argentina, for the complete architectural design, planning, and technical documentation of a mixed-use commercial and residential building located at the intersection of Av. Rivadavia and Calle Tucumán, in the Palermo neighborhood of Buenos Aires. The Architect shall be responsible for all design phases, regulatory compliance with the Buenos Aires City Building Code (Código de Planeamiento Urbano de la Ciudad Autónoma de Buenos Aires), environmental impact assessments, and coordination with municipal authorities including the Subsecretaría de Control de Obras Públicas.</w:t>
      </w:r>
    </w:p>
    <w:bookmarkEnd w:id="23"/>
    <w:bookmarkStart w:id="24" w:name="line-items-architectural-services"/>
    <w:p>
      <w:pPr>
        <w:pStyle w:val="Heading2"/>
      </w:pPr>
      <w:r>
        <w:t xml:space="preserve">Line Items — Architectural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Architectural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t xml:space="preserve">Conceptual design and feasibility study for the 12-story mixed-use building, including massing studies, site analysis, and preliminary floor plans compliant with Buenos Aires zoning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2</w:t>
            </w:r>
          </w:p>
        </w:tc>
        <w:tc>
          <w:tcPr/>
          <w:p>
            <w:pPr>
              <w:pStyle w:val="Compact"/>
              <w:jc w:val="left"/>
            </w:pPr>
            <w:r>
              <w:t xml:space="preserve">Schematic design development: architectural drawings, elevations, sections, and 3D renderings for all 12 floors plus underground parking (2 levels). Includes material specifications and facade design.</w:t>
            </w:r>
          </w:p>
        </w:tc>
        <w:tc>
          <w:tcPr/>
          <w:p>
            <w:pPr>
              <w:pStyle w:val="Compact"/>
              <w:jc w:val="left"/>
            </w:pPr>
            <w:r>
              <w:t xml:space="preserve">1</w:t>
            </w:r>
          </w:p>
        </w:tc>
        <w:tc>
          <w:tcPr/>
          <w:p>
            <w:pPr>
              <w:pStyle w:val="Compact"/>
              <w:jc w:val="left"/>
            </w:pPr>
            <w:r>
              <w:t xml:space="preserve">Lot</w:t>
            </w:r>
          </w:p>
        </w:tc>
        <w:tc>
          <w:tcPr/>
          <w:p>
            <w:pPr>
              <w:pStyle w:val="Compact"/>
              <w:jc w:val="left"/>
            </w:pPr>
            <w:r>
              <w:t xml:space="preserve">7,200,000.00</w:t>
            </w:r>
          </w:p>
        </w:tc>
        <w:tc>
          <w:tcPr/>
          <w:p>
            <w:pPr>
              <w:pStyle w:val="Compact"/>
              <w:jc w:val="left"/>
            </w:pPr>
            <w:r>
              <w:t xml:space="preserve">7,200,000.00</w:t>
            </w:r>
          </w:p>
        </w:tc>
      </w:tr>
      <w:tr>
        <w:tc>
          <w:tcPr/>
          <w:p>
            <w:pPr>
              <w:pStyle w:val="Compact"/>
              <w:jc w:val="left"/>
            </w:pPr>
            <w:r>
              <w:t xml:space="preserve">3</w:t>
            </w:r>
          </w:p>
        </w:tc>
        <w:tc>
          <w:tcPr/>
          <w:p>
            <w:pPr>
              <w:pStyle w:val="Compact"/>
              <w:jc w:val="left"/>
            </w:pPr>
            <w:r>
              <w:t xml:space="preserve">Detailed design and construction documentation: complete set of architectural, structural coordination, MEP coordination drawings, and specifications for tendering. Includes 4 revisions.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9,800,000.00</w:t>
            </w:r>
          </w:p>
        </w:tc>
        <w:tc>
          <w:tcPr/>
          <w:p>
            <w:pPr>
              <w:pStyle w:val="Compact"/>
              <w:jc w:val="left"/>
            </w:pPr>
            <w:r>
              <w:t xml:space="preserve">9,800,000.00</w:t>
            </w:r>
          </w:p>
        </w:tc>
      </w:tr>
      <w:tr>
        <w:tc>
          <w:tcPr/>
          <w:p>
            <w:pPr>
              <w:pStyle w:val="Compact"/>
              <w:jc w:val="left"/>
            </w:pPr>
            <w:r>
              <w:t xml:space="preserve">4</w:t>
            </w:r>
          </w:p>
        </w:tc>
        <w:tc>
          <w:tcPr/>
          <w:p>
            <w:pPr>
              <w:pStyle w:val="Compact"/>
              <w:jc w:val="left"/>
            </w:pPr>
            <w:r>
              <w:t xml:space="preserve">Regulatory permitting and municipal submissions: preparation and filing of all documentation before the GCBA (Gobierno de la Ciudad de Buenos Aires), including Plan de Obra, environmental compliance, and accessibility certification (Ley 5.126).</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5</w:t>
            </w:r>
          </w:p>
        </w:tc>
        <w:tc>
          <w:tcPr/>
          <w:p>
            <w:pPr>
              <w:pStyle w:val="Compact"/>
              <w:jc w:val="left"/>
            </w:pPr>
            <w:r>
              <w:t xml:space="preserve">Construction phase architectural supervision: on-site visits (minimum 2 per week), progress inspections, design queries resolution, and as-built documentation. Duration: 18 months.</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1,850,000.00</w:t>
            </w:r>
          </w:p>
        </w:tc>
        <w:tc>
          <w:tcPr/>
          <w:p>
            <w:pPr>
              <w:pStyle w:val="Compact"/>
              <w:jc w:val="left"/>
            </w:pPr>
            <w:r>
              <w:t xml:space="preserve">33,300,000.00</w:t>
            </w:r>
          </w:p>
        </w:tc>
      </w:tr>
      <w:tr>
        <w:tc>
          <w:tcPr/>
          <w:p>
            <w:pPr>
              <w:pStyle w:val="Compact"/>
              <w:jc w:val="left"/>
            </w:pPr>
            <w:r>
              <w:t xml:space="preserve">6</w:t>
            </w:r>
          </w:p>
        </w:tc>
        <w:tc>
          <w:tcPr/>
          <w:p>
            <w:pPr>
              <w:pStyle w:val="Compact"/>
              <w:jc w:val="left"/>
            </w:pPr>
            <w:r>
              <w:t xml:space="preserve">Interior design for lobby, common areas, and 4 model residential units. Includes furniture layout, lighting design, and finishes schedule.</w:t>
            </w:r>
          </w:p>
        </w:tc>
        <w:tc>
          <w:tcPr/>
          <w:p>
            <w:pPr>
              <w:pStyle w:val="Compact"/>
              <w:jc w:val="left"/>
            </w:pPr>
            <w:r>
              <w:t xml:space="preserve">1</w:t>
            </w:r>
          </w:p>
        </w:tc>
        <w:tc>
          <w:tcPr/>
          <w:p>
            <w:pPr>
              <w:pStyle w:val="Compact"/>
              <w:jc w:val="left"/>
            </w:pPr>
            <w:r>
              <w:t xml:space="preserve">Lot</w:t>
            </w:r>
          </w:p>
        </w:tc>
        <w:tc>
          <w:tcPr/>
          <w:p>
            <w:pPr>
              <w:pStyle w:val="Compact"/>
              <w:jc w:val="left"/>
            </w:pPr>
            <w:r>
              <w:t xml:space="preserve">5,600,000.00</w:t>
            </w:r>
          </w:p>
        </w:tc>
        <w:tc>
          <w:tcPr/>
          <w:p>
            <w:pPr>
              <w:pStyle w:val="Compact"/>
              <w:jc w:val="left"/>
            </w:pPr>
            <w:r>
              <w:t xml:space="preserve">5,600,000.00</w:t>
            </w:r>
          </w:p>
        </w:tc>
      </w:tr>
      <w:tr>
        <w:tc>
          <w:tcPr/>
          <w:p>
            <w:pPr>
              <w:pStyle w:val="Compact"/>
              <w:jc w:val="left"/>
            </w:pPr>
            <w:r>
              <w:t xml:space="preserve">7</w:t>
            </w:r>
          </w:p>
        </w:tc>
        <w:tc>
          <w:tcPr/>
          <w:p>
            <w:pPr>
              <w:pStyle w:val="Compact"/>
              <w:jc w:val="left"/>
            </w:pPr>
            <w:r>
              <w:t xml:space="preserve">Final as-built documentation, handover package, and warranty period support (12 months post-completion).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2,400,000.00</w:t>
            </w:r>
          </w:p>
        </w:tc>
        <w:tc>
          <w:tcPr/>
          <w:p>
            <w:pPr>
              <w:pStyle w:val="Compact"/>
              <w:jc w:val="left"/>
            </w:pPr>
            <w:r>
              <w:t xml:space="preserve">2,400,000.00</w:t>
            </w:r>
          </w:p>
        </w:tc>
      </w:tr>
      <w:tr>
        <w:tc>
          <w:tcPr>
            <w:gridSpan w:val="5"/>
          </w:tcPr>
          <w:p>
            <w:pPr>
              <w:pStyle w:val="Compact"/>
              <w:jc w:val="right"/>
            </w:pPr>
            <w:r>
              <w:t xml:space="preserve">SUBTOTAL</w:t>
            </w:r>
          </w:p>
        </w:tc>
        <w:tc>
          <w:tcPr/>
          <w:p>
            <w:pPr>
              <w:pStyle w:val="Compact"/>
              <w:jc w:val="left"/>
            </w:pPr>
            <w:r>
              <w:t xml:space="preserve">66,000,000.00</w:t>
            </w:r>
          </w:p>
        </w:tc>
      </w:tr>
      <w:tr>
        <w:tc>
          <w:tcPr>
            <w:gridSpan w:val="5"/>
          </w:tcPr>
          <w:p>
            <w:pPr>
              <w:pStyle w:val="Compact"/>
              <w:jc w:val="right"/>
            </w:pPr>
            <w:r>
              <w:t xml:space="preserve">IVA (21% — Argentine Value Added Tax)</w:t>
            </w:r>
          </w:p>
        </w:tc>
        <w:tc>
          <w:tcPr/>
          <w:p>
            <w:pPr>
              <w:pStyle w:val="Compact"/>
              <w:jc w:val="left"/>
            </w:pPr>
            <w:r>
              <w:t xml:space="preserve">13,860,000.00</w:t>
            </w:r>
          </w:p>
        </w:tc>
      </w:tr>
      <w:tr>
        <w:tc>
          <w:tcPr>
            <w:gridSpan w:val="5"/>
          </w:tcPr>
          <w:p>
            <w:pPr>
              <w:pStyle w:val="Compact"/>
              <w:jc w:val="right"/>
            </w:pPr>
            <w:r>
              <w:t xml:space="preserve">GRAND TOTAL (ARS)</w:t>
            </w:r>
          </w:p>
        </w:tc>
        <w:tc>
          <w:tcPr/>
          <w:p>
            <w:pPr>
              <w:pStyle w:val="Compact"/>
              <w:jc w:val="left"/>
            </w:pPr>
            <w:r>
              <w:t xml:space="preserve">79,860,000.00</w:t>
            </w:r>
          </w:p>
        </w:tc>
      </w:tr>
    </w:tbl>
    <w:p>
      <w:pPr>
        <w:pStyle w:val="BodyText"/>
      </w:pPr>
      <w:r>
        <w:rPr>
          <w:bCs/>
          <w:b/>
        </w:rPr>
        <w:t xml:space="preserve">Note:</w:t>
      </w:r>
      <w:r>
        <w:t xml:space="preserve"> </w:t>
      </w:r>
      <w:r>
        <w:t xml:space="preserve">All prices are quoted in Argentine Pesos (ARS) and are subject to adjustment in the event of a devaluation of the Argentine Peso exceeding 15% against the US Dollar during the contract period, in accordance with the terms of the Argentine Civil and Commercial Code (Código Civil y Comercial de la Nación, Ley 26.994). The Architect shall issue a formal invoice (Factura A) for each milestone upon completion.</w:t>
      </w:r>
    </w:p>
    <w:bookmarkEnd w:id="24"/>
    <w:bookmarkStart w:id="25" w:name="payment-terms"/>
    <w:p>
      <w:pPr>
        <w:pStyle w:val="Heading2"/>
      </w:pPr>
      <w:r>
        <w:t xml:space="preserve">Payment Terms</w:t>
      </w:r>
    </w:p>
    <w:p>
      <w:pPr>
        <w:numPr>
          <w:ilvl w:val="0"/>
          <w:numId w:val="1001"/>
        </w:numPr>
        <w:pStyle w:val="Compact"/>
      </w:pPr>
      <w:r>
        <w:rPr>
          <w:bCs/>
          <w:b/>
        </w:rPr>
        <w:t xml:space="preserve">Milestone 1 (30%):</w:t>
      </w:r>
      <w:r>
        <w:t xml:space="preserve"> </w:t>
      </w:r>
      <w:r>
        <w:t xml:space="preserve">ARS 23,958,000.00 — Due upon approval of the Conceptual Design and Schematic Design package. Payment within 15 business days of invoice receipt via bank transfer to the Architect's account at Banco de la Nación Argentina, CBU 0110599990123456789012.</w:t>
      </w:r>
    </w:p>
    <w:p>
      <w:pPr>
        <w:numPr>
          <w:ilvl w:val="0"/>
          <w:numId w:val="1001"/>
        </w:numPr>
        <w:pStyle w:val="Compact"/>
      </w:pPr>
      <w:r>
        <w:rPr>
          <w:bCs/>
          <w:b/>
        </w:rPr>
        <w:t xml:space="preserve">Milestone 2 (25%):</w:t>
      </w:r>
      <w:r>
        <w:t xml:space="preserve"> </w:t>
      </w:r>
      <w:r>
        <w:t xml:space="preserve">ARS 19,965,000.00 — Due upon delivery of the complete Detailed Design and Construction Documentation set and receipt of municipal permit approval from GCBA.</w:t>
      </w:r>
    </w:p>
    <w:p>
      <w:pPr>
        <w:numPr>
          <w:ilvl w:val="0"/>
          <w:numId w:val="1001"/>
        </w:numPr>
        <w:pStyle w:val="Compact"/>
      </w:pPr>
      <w:r>
        <w:rPr>
          <w:bCs/>
          <w:b/>
        </w:rPr>
        <w:t xml:space="preserve">Milestone 3 (35%):</w:t>
      </w:r>
      <w:r>
        <w:t xml:space="preserve"> </w:t>
      </w:r>
      <w:r>
        <w:t xml:space="preserve">ARS 27,951,000.00 — Paid in 18 equal monthly installments of ARS 1,552,833.33 during the Construction Phase supervision period.</w:t>
      </w:r>
    </w:p>
    <w:p>
      <w:pPr>
        <w:numPr>
          <w:ilvl w:val="0"/>
          <w:numId w:val="1001"/>
        </w:numPr>
        <w:pStyle w:val="Compact"/>
      </w:pPr>
      <w:r>
        <w:rPr>
          <w:bCs/>
          <w:b/>
        </w:rPr>
        <w:t xml:space="preserve">Milestone 4 (10%):</w:t>
      </w:r>
      <w:r>
        <w:t xml:space="preserve"> </w:t>
      </w:r>
      <w:r>
        <w:t xml:space="preserve">ARS 7,986,000.00 — Due upon delivery of the final as-built documentation and completion of the 12-month warranty support period.</w:t>
      </w:r>
    </w:p>
    <w:bookmarkEnd w:id="25"/>
    <w:bookmarkStart w:id="26" w:name="terms-and-conditions"/>
    <w:p>
      <w:pPr>
        <w:pStyle w:val="Heading2"/>
      </w:pPr>
      <w:r>
        <w:t xml:space="preserve">Terms and Conditions</w:t>
      </w:r>
    </w:p>
    <w:p>
      <w:pPr>
        <w:numPr>
          <w:ilvl w:val="0"/>
          <w:numId w:val="1002"/>
        </w:numPr>
        <w:pStyle w:val="Compact"/>
      </w:pPr>
      <w:r>
        <w:t xml:space="preserve">This Purchase Order is governed by the laws of the Argentine Republic and the City of Buenos Aires. Any disputes shall be resolved by the competent courts of the City of Buenos Aires, Argentina.</w:t>
      </w:r>
    </w:p>
    <w:p>
      <w:pPr>
        <w:numPr>
          <w:ilvl w:val="0"/>
          <w:numId w:val="1002"/>
        </w:numPr>
        <w:pStyle w:val="Compact"/>
      </w:pPr>
      <w:r>
        <w:t xml:space="preserve">The Architect warrants that all professional services shall be performed in accordance with the ethical code of the Colegio de Arquitectos de la Ciudad de Buenos Aires and all applicable national and municipal building regulations.</w:t>
      </w:r>
    </w:p>
    <w:p>
      <w:pPr>
        <w:numPr>
          <w:ilvl w:val="0"/>
          <w:numId w:val="1002"/>
        </w:numPr>
        <w:pStyle w:val="Compact"/>
      </w:pPr>
      <w:r>
        <w:t xml:space="preserve">The Architect shall maintain professional liability insurance (Seguro de Responsabilidad Civil Profesional) with a minimum coverage of ARS 50,000,000.00 throughout the duration of this engagement.</w:t>
      </w:r>
    </w:p>
    <w:p>
      <w:pPr>
        <w:numPr>
          <w:ilvl w:val="0"/>
          <w:numId w:val="1002"/>
        </w:numPr>
        <w:pStyle w:val="Compact"/>
      </w:pPr>
      <w:r>
        <w:t xml:space="preserve">All intellectual property rights in the architectural drawings, designs, and documentation produced under this Purchase Order shall vest in Edificios del Sur S.A. upon full payment. The Architect retains the right to display the completed project in their professional portfolio.</w:t>
      </w:r>
    </w:p>
    <w:p>
      <w:pPr>
        <w:numPr>
          <w:ilvl w:val="0"/>
          <w:numId w:val="1002"/>
        </w:numPr>
        <w:pStyle w:val="Compact"/>
      </w:pPr>
      <w:r>
        <w:t xml:space="preserve">The Architect shall comply with all occupational health and safety regulations applicable in Buenos Aires, Argentina, and shall ensure that all design documentation incorporates the accessibility standards mandated by Ley 5.126 and its implementing decrees.</w:t>
      </w:r>
    </w:p>
    <w:p>
      <w:pPr>
        <w:numPr>
          <w:ilvl w:val="0"/>
          <w:numId w:val="1002"/>
        </w:numPr>
        <w:pStyle w:val="Compact"/>
      </w:pPr>
      <w:r>
        <w:t xml:space="preserve">Either party may terminate this Purchase Order with 30 days' written notice in the event of material breach. In such case, the Architect shall be compensated for all services rendered up to the date of termination.</w:t>
      </w:r>
    </w:p>
    <w:p>
      <w:pPr>
        <w:numPr>
          <w:ilvl w:val="0"/>
          <w:numId w:val="1002"/>
        </w:numPr>
        <w:pStyle w:val="Compact"/>
      </w:pPr>
      <w:r>
        <w:t xml:space="preserve">Confidentiality: The Architect agrees to treat all project information, site data, and commercial details as strictly confidential and shall not disclose them to third parties without prior written consent from the Purchasing Party.</w:t>
      </w:r>
    </w:p>
    <w:p>
      <w:pPr>
        <w:numPr>
          <w:ilvl w:val="0"/>
          <w:numId w:val="1002"/>
        </w:numPr>
        <w:pStyle w:val="Compact"/>
      </w:pPr>
      <w:r>
        <w:t xml:space="preserve">Force Majeure: Neither party shall be liable for delays caused by events beyond reasonable control, including but not limited to natural disasters, government actions, or public health emergencies as defined under Argentine law.</w:t>
      </w:r>
    </w:p>
    <w:p>
      <w:pPr>
        <w:numPr>
          <w:ilvl w:val="0"/>
          <w:numId w:val="1002"/>
        </w:numPr>
        <w:pStyle w:val="Compact"/>
      </w:pPr>
      <w:r>
        <w:t xml:space="preserve">All communications regarding this Purchase Order shall be made in writing and delivered to the addresses specified above. Electronic communications via email shall be deemed valid notice.</w:t>
      </w:r>
    </w:p>
    <w:bookmarkEnd w:id="26"/>
    <w:bookmarkStart w:id="27" w:name="acceptance-and-authorization"/>
    <w:p>
      <w:pPr>
        <w:pStyle w:val="Heading2"/>
      </w:pPr>
      <w:r>
        <w:t xml:space="preserve">Acceptance and Authorization</w:t>
      </w:r>
    </w:p>
    <w:p>
      <w:pPr>
        <w:pStyle w:val="FirstParagraph"/>
      </w:pPr>
      <w:r>
        <w:t xml:space="preserve">By signing below, both parties acknowledge and agree to all terms, conditions, and specifications set forth in this Purchase Order for the engagement of architectural services in Buenos Aires, Argentina.</w:t>
      </w:r>
    </w:p>
    <w:p>
      <w:pPr>
        <w:pStyle w:val="BodyText"/>
      </w:pPr>
      <w:r>
        <w:rPr>
          <w:bCs/>
          <w:b/>
        </w:rPr>
        <w:t xml:space="preserve">For Edificios del Sur S.A. (Purchasing Party)</w:t>
      </w:r>
      <w:r>
        <w:br/>
      </w:r>
      <w:r>
        <w:t xml:space="preserve">Name: Ing. Mariana López</w:t>
      </w:r>
      <w:r>
        <w:br/>
      </w:r>
      <w:r>
        <w:t xml:space="preserve">Position: Director of Procurement</w:t>
      </w:r>
      <w:r>
        <w:br/>
      </w:r>
      <w:r>
        <w:t xml:space="preserve">Date: ______________________</w:t>
      </w:r>
      <w:r>
        <w:br/>
      </w:r>
      <w:r>
        <w:t xml:space="preserve">Signature &amp; Seal</w:t>
      </w:r>
    </w:p>
    <w:p>
      <w:pPr>
        <w:pStyle w:val="BodyText"/>
      </w:pPr>
      <w:r>
        <w:rPr>
          <w:bCs/>
          <w:b/>
        </w:rPr>
        <w:t xml:space="preserve">For Estudio Arquitectónico Vega &amp; Asociados (Architect)</w:t>
      </w:r>
      <w:r>
        <w:br/>
      </w:r>
      <w:r>
        <w:t xml:space="preserve">Name: Arq. Ricardo Vega, M.Arch.</w:t>
      </w:r>
      <w:r>
        <w:br/>
      </w:r>
      <w:r>
        <w:t xml:space="preserve">Position: Lead Architect / Principal</w:t>
      </w:r>
      <w:r>
        <w:br/>
      </w:r>
      <w:r>
        <w:t xml:space="preserve">CPBA Mat. Nº 12.847</w:t>
      </w:r>
      <w:r>
        <w:br/>
      </w:r>
      <w:r>
        <w:t xml:space="preserve">Date: ______________________</w:t>
      </w:r>
      <w:r>
        <w:br/>
      </w:r>
      <w:r>
        <w:t xml:space="preserve">Signature &amp; Seal</w:t>
      </w:r>
    </w:p>
    <w:p>
      <w:pPr>
        <w:pStyle w:val="BodyText"/>
      </w:pPr>
      <w:r>
        <w:t xml:space="preserve">Purchase Order BA-ARCH-2025-0047 — Issued in Buenos Aires, Argentina — Page 1 of 1</w:t>
      </w:r>
    </w:p>
    <w:p>
      <w:pPr>
        <w:pStyle w:val="BodyText"/>
      </w:pPr>
      <w:r>
        <w:t xml:space="preserve">This document is valid only when signed by both parties. Unauthorized reproduction is prohibited under Argentine intellectual property law (Ley 11.723).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Buenos Aires, Argentina</dc:title>
  <dc:creator/>
  <dc:language>en</dc:language>
  <cp:keywords/>
  <dcterms:created xsi:type="dcterms:W3CDTF">2026-10-10T04:06:42Z</dcterms:created>
  <dcterms:modified xsi:type="dcterms:W3CDTF">2026-10-10T04:06:42Z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