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PO-ARC-CBA-2025-0047</w:t>
      </w:r>
    </w:p>
    <w:p>
      <w:pPr>
        <w:pStyle w:val="BodyText"/>
      </w:pPr>
      <w:r>
        <w:rPr>
          <w:bCs/>
          <w:b/>
        </w:rPr>
        <w:t xml:space="preserve">Issuing Entity:</w:t>
      </w:r>
      <w:r>
        <w:t xml:space="preserve"> </w:t>
      </w:r>
      <w:r>
        <w:t xml:space="preserve">Municipalidad de Córdoba – Dirección de Obras Públicas</w:t>
      </w:r>
    </w:p>
    <w:p>
      <w:pPr>
        <w:pStyle w:val="BodyText"/>
      </w:pPr>
      <w:r>
        <w:rPr>
          <w:bCs/>
          <w:b/>
        </w:rPr>
        <w:t xml:space="preserve">Address:</w:t>
      </w:r>
      <w:r>
        <w:t xml:space="preserve"> </w:t>
      </w:r>
      <w:r>
        <w:t xml:space="preserve">Av. Vélez Sarsfield 650, X5000 Córdoba, Argentina</w:t>
      </w:r>
    </w:p>
    <w:p>
      <w:pPr>
        <w:pStyle w:val="BodyText"/>
      </w:pPr>
      <w:r>
        <w:rPr>
          <w:bCs/>
          <w:b/>
        </w:rPr>
        <w:t xml:space="preserve">Contact:</w:t>
      </w:r>
      <w:r>
        <w:t xml:space="preserve"> </w:t>
      </w:r>
      <w:r>
        <w:t xml:space="preserve">procurement@cba.gob.ar | Tel: +54 351 426-0000</w:t>
      </w:r>
    </w:p>
    <w:bookmarkEnd w:id="20"/>
    <w:p>
      <w:pPr>
        <w:pStyle w:val="BodyText"/>
      </w:pPr>
      <w:r>
        <w:rPr>
          <w:bCs/>
          <w:b/>
        </w:rPr>
        <w:t xml:space="preserve">Purchase Order No.:</w:t>
      </w:r>
      <w:r>
        <w:t xml:space="preserve"> </w:t>
      </w:r>
      <w:r>
        <w:t xml:space="preserve">PO-ARC-CBA-2025-0047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November 2025</w:t>
      </w:r>
    </w:p>
    <w:p>
      <w:pPr>
        <w:pStyle w:val="BodyText"/>
      </w:pPr>
      <w:r>
        <w:rPr>
          <w:bCs/>
          <w:b/>
        </w:rPr>
        <w:t xml:space="preserve">Currency:</w:t>
      </w:r>
      <w:r>
        <w:t xml:space="preserve"> </w:t>
      </w:r>
      <w:r>
        <w:t xml:space="preserve">Argentine Peso (ARS)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Professional Name</w:t>
            </w:r>
          </w:p>
        </w:tc>
        <w:tc>
          <w:tcPr/>
          <w:p>
            <w:pPr>
              <w:pStyle w:val="Compact"/>
              <w:jc w:val="left"/>
            </w:pPr>
            <w:r>
              <w:t xml:space="preserve">Estudio Arquitectónico Vega &amp; Asociados S.R.L.</w:t>
            </w:r>
          </w:p>
        </w:tc>
      </w:tr>
      <w:tr>
        <w:tc>
          <w:tcPr/>
          <w:p>
            <w:pPr>
              <w:pStyle w:val="Compact"/>
              <w:jc w:val="left"/>
            </w:pPr>
            <w:r>
              <w:t xml:space="preserve">Lead Architect</w:t>
            </w:r>
          </w:p>
        </w:tc>
        <w:tc>
          <w:tcPr/>
          <w:p>
            <w:pPr>
              <w:pStyle w:val="Compact"/>
              <w:jc w:val="left"/>
            </w:pPr>
            <w:r>
              <w:t xml:space="preserve">Arq. María Elena Vega, M.Arch., FAIA</w:t>
            </w:r>
          </w:p>
        </w:tc>
      </w:tr>
      <w:tr>
        <w:tc>
          <w:tcPr/>
          <w:p>
            <w:pPr>
              <w:pStyle w:val="Compact"/>
              <w:jc w:val="left"/>
            </w:pPr>
            <w:r>
              <w:t xml:space="preserve">CUIT (Tax ID)</w:t>
            </w:r>
          </w:p>
        </w:tc>
        <w:tc>
          <w:tcPr/>
          <w:p>
            <w:pPr>
              <w:pStyle w:val="Compact"/>
              <w:jc w:val="left"/>
            </w:pPr>
            <w:r>
              <w:t xml:space="preserve">30-71234567-8</w:t>
            </w:r>
          </w:p>
        </w:tc>
      </w:tr>
      <w:tr>
        <w:tc>
          <w:tcPr/>
          <w:p>
            <w:pPr>
              <w:pStyle w:val="Compact"/>
              <w:jc w:val="left"/>
            </w:pPr>
            <w:r>
              <w:t xml:space="preserve">Professional License No.</w:t>
            </w:r>
          </w:p>
        </w:tc>
        <w:tc>
          <w:tcPr/>
          <w:p>
            <w:pPr>
              <w:pStyle w:val="Compact"/>
              <w:jc w:val="left"/>
            </w:pPr>
            <w:r>
              <w:t xml:space="preserve">Matrícula CPA 12.345 – Colegio de Arquitectos de la Provincia de Córdoba</w:t>
            </w:r>
          </w:p>
        </w:tc>
      </w:tr>
      <w:tr>
        <w:tc>
          <w:tcPr/>
          <w:p>
            <w:pPr>
              <w:pStyle w:val="Compact"/>
              <w:jc w:val="left"/>
            </w:pPr>
            <w:r>
              <w:t xml:space="preserve">Registered Address</w:t>
            </w:r>
          </w:p>
        </w:tc>
        <w:tc>
          <w:tcPr/>
          <w:p>
            <w:pPr>
              <w:pStyle w:val="Compact"/>
              <w:jc w:val="left"/>
            </w:pPr>
            <w:r>
              <w:t xml:space="preserve">Bv. San Juan 1245, Piso 4, Of. 42, X5000 Córdoba, Argentina</w:t>
            </w:r>
          </w:p>
        </w:tc>
      </w:tr>
      <w:tr>
        <w:tc>
          <w:tcPr/>
          <w:p>
            <w:pPr>
              <w:pStyle w:val="Compact"/>
              <w:jc w:val="left"/>
            </w:pPr>
            <w:r>
              <w:t xml:space="preserve">Email</w:t>
            </w:r>
          </w:p>
        </w:tc>
        <w:tc>
          <w:tcPr/>
          <w:p>
            <w:pPr>
              <w:pStyle w:val="Compact"/>
              <w:jc w:val="left"/>
            </w:pPr>
            <w:r>
              <w:t xml:space="preserve">contacto@vegaarquitectos.com.ar</w:t>
            </w:r>
          </w:p>
        </w:tc>
      </w:tr>
      <w:tr>
        <w:tc>
          <w:tcPr/>
          <w:p>
            <w:pPr>
              <w:pStyle w:val="Compact"/>
              <w:jc w:val="left"/>
            </w:pPr>
            <w:r>
              <w:t xml:space="preserve">Phone</w:t>
            </w:r>
          </w:p>
        </w:tc>
        <w:tc>
          <w:tcPr/>
          <w:p>
            <w:pPr>
              <w:pStyle w:val="Compact"/>
              <w:jc w:val="left"/>
            </w:pPr>
            <w:r>
              <w:t xml:space="preserve">+54 351 422-8899</w:t>
            </w:r>
          </w:p>
        </w:tc>
      </w:tr>
    </w:tbl>
    <w:bookmarkEnd w:id="21"/>
    <w:bookmarkStart w:id="22" w:name="scope-of-architectural-services"/>
    <w:p>
      <w:pPr>
        <w:pStyle w:val="Heading2"/>
      </w:pPr>
      <w:r>
        <w:t xml:space="preserve">2. Scope of Architectural Services</w:t>
      </w:r>
    </w:p>
    <w:p>
      <w:pPr>
        <w:pStyle w:val="FirstParagraph"/>
      </w:pPr>
      <w:r>
        <w:t xml:space="preserve">This Purchase Order is issued by the Municipalidad de Córdoba to engage the services of a licensed Architect and their professional team for the design, documentation, and technical oversight of the</w:t>
      </w:r>
      <w:r>
        <w:t xml:space="preserve"> </w:t>
      </w:r>
      <w:r>
        <w:rPr>
          <w:bCs/>
          <w:b/>
        </w:rPr>
        <w:t xml:space="preserve">Rehabilitation and Expansion of the Municipal Cultural Center, Barrio Alta Córdoba</w:t>
      </w:r>
      <w:r>
        <w:t xml:space="preserve">. The Architect shall be responsible for all phases of architectural design as defined below, in full compliance with the</w:t>
      </w:r>
      <w:r>
        <w:t xml:space="preserve"> </w:t>
      </w:r>
      <w:r>
        <w:rPr>
          <w:iCs/>
          <w:i/>
        </w:rPr>
        <w:t xml:space="preserve">Código de Edificación de la Provincia de Córdoba</w:t>
      </w:r>
      <w:r>
        <w:t xml:space="preserve"> </w:t>
      </w:r>
      <w:r>
        <w:t xml:space="preserve">(CEPC) and all applicable national and provincial building regulations.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Architectural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Pre-design feasibility study, site analysis, and conceptual design for the Cultural Center expansion (approx. 2,400 m² new construction)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Schematic design development, massing studies, and preliminary structural coordination with the project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Design development and detailed architectural drawings (plans, elevations, sections, details) for permit submission to the Dirección de Urbanismo de Córdoba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Construction documentation, specifications, and tender package preparation in accordance with Argentine public procurement law (Ley 27.437)</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5</w:t>
            </w:r>
          </w:p>
        </w:tc>
        <w:tc>
          <w:tcPr/>
          <w:p>
            <w:pPr>
              <w:pStyle w:val="Compact"/>
              <w:jc w:val="left"/>
            </w:pPr>
            <w:r>
              <w:t xml:space="preserve">Construction-phase architectural supervision, site visits (minimum 12 visits), and coordination with the general contractor</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6</w:t>
            </w:r>
          </w:p>
        </w:tc>
        <w:tc>
          <w:tcPr/>
          <w:p>
            <w:pPr>
              <w:pStyle w:val="Compact"/>
              <w:jc w:val="left"/>
            </w:pPr>
            <w:r>
              <w:t xml:space="preserve">As-built documentation, final certification, and handover package to the Municipalidad de Córdoba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w:t>
            </w:r>
          </w:p>
        </w:tc>
        <w:tc>
          <w:tcPr/>
          <w:p>
            <w:pPr>
              <w:pStyle w:val="Compact"/>
              <w:jc w:val="left"/>
            </w:pPr>
            <w:r>
              <w:t xml:space="preserve">13,370,000</w:t>
            </w:r>
          </w:p>
        </w:tc>
      </w:tr>
      <w:tr>
        <w:tc>
          <w:tcPr>
            <w:gridSpan w:val="5"/>
          </w:tcPr>
          <w:p>
            <w:pPr>
              <w:pStyle w:val="Compact"/>
              <w:jc w:val="right"/>
            </w:pPr>
            <w:r>
              <w:t xml:space="preserve">IVA (21% VAT – Argentina)</w:t>
            </w:r>
          </w:p>
        </w:tc>
        <w:tc>
          <w:tcPr/>
          <w:p>
            <w:pPr>
              <w:pStyle w:val="Compact"/>
              <w:jc w:val="left"/>
            </w:pPr>
            <w:r>
              <w:t xml:space="preserve">2,807,700</w:t>
            </w:r>
          </w:p>
        </w:tc>
      </w:tr>
      <w:tr>
        <w:tc>
          <w:tcPr>
            <w:gridSpan w:val="5"/>
          </w:tcPr>
          <w:p>
            <w:pPr>
              <w:pStyle w:val="Compact"/>
              <w:jc w:val="right"/>
            </w:pPr>
            <w:r>
              <w:t xml:space="preserve">GRAND TOTAL</w:t>
            </w:r>
          </w:p>
        </w:tc>
        <w:tc>
          <w:tcPr/>
          <w:p>
            <w:pPr>
              <w:pStyle w:val="Compact"/>
              <w:jc w:val="left"/>
            </w:pPr>
            <w:r>
              <w:t xml:space="preserve">16,177,700</w:t>
            </w:r>
          </w:p>
        </w:tc>
      </w:tr>
    </w:tbl>
    <w:bookmarkEnd w:id="23"/>
    <w:bookmarkStart w:id="24" w:name="payment-terms"/>
    <w:p>
      <w:pPr>
        <w:pStyle w:val="Heading2"/>
      </w:pPr>
      <w:r>
        <w:t xml:space="preserve">4. Payment Terms</w:t>
      </w:r>
    </w:p>
    <w:p>
      <w:pPr>
        <w:pStyle w:val="FirstParagraph"/>
      </w:pPr>
      <w:r>
        <w:t xml:space="preserve">Payment shall be made in accordance with the following milestone schedule, subject to written acceptance by the Municipalidad de Córdoba's project manager:</w:t>
      </w:r>
    </w:p>
    <w:p>
      <w:pPr>
        <w:numPr>
          <w:ilvl w:val="0"/>
          <w:numId w:val="1001"/>
        </w:numPr>
        <w:pStyle w:val="Compact"/>
      </w:pPr>
      <w:r>
        <w:rPr>
          <w:bCs/>
          <w:b/>
        </w:rPr>
        <w:t xml:space="preserve">Milestone 1 (20%):</w:t>
      </w:r>
      <w:r>
        <w:t xml:space="preserve"> </w:t>
      </w:r>
      <w:r>
        <w:t xml:space="preserve">Upon approval of the conceptual design – ARS 3,235,540</w:t>
      </w:r>
    </w:p>
    <w:p>
      <w:pPr>
        <w:numPr>
          <w:ilvl w:val="0"/>
          <w:numId w:val="1001"/>
        </w:numPr>
        <w:pStyle w:val="Compact"/>
      </w:pPr>
      <w:r>
        <w:rPr>
          <w:bCs/>
          <w:b/>
        </w:rPr>
        <w:t xml:space="preserve">Milestone 2 (25%):</w:t>
      </w:r>
      <w:r>
        <w:t xml:space="preserve"> </w:t>
      </w:r>
      <w:r>
        <w:t xml:space="preserve">Upon approval of schematic design – ARS 4,044,425</w:t>
      </w:r>
    </w:p>
    <w:p>
      <w:pPr>
        <w:numPr>
          <w:ilvl w:val="0"/>
          <w:numId w:val="1001"/>
        </w:numPr>
        <w:pStyle w:val="Compact"/>
      </w:pPr>
      <w:r>
        <w:rPr>
          <w:bCs/>
          <w:b/>
        </w:rPr>
        <w:t xml:space="preserve">Milestone 3 (25%):</w:t>
      </w:r>
      <w:r>
        <w:t xml:space="preserve"> </w:t>
      </w:r>
      <w:r>
        <w:t xml:space="preserve">Upon submission of permit-ready documentation – ARS 4,044,425</w:t>
      </w:r>
    </w:p>
    <w:p>
      <w:pPr>
        <w:numPr>
          <w:ilvl w:val="0"/>
          <w:numId w:val="1001"/>
        </w:numPr>
        <w:pStyle w:val="Compact"/>
      </w:pPr>
      <w:r>
        <w:rPr>
          <w:bCs/>
          <w:b/>
        </w:rPr>
        <w:t xml:space="preserve">Milestone 4 (20%):</w:t>
      </w:r>
      <w:r>
        <w:t xml:space="preserve"> </w:t>
      </w:r>
      <w:r>
        <w:t xml:space="preserve">Upon completion of construction documentation and tender package – ARS 3,235,540</w:t>
      </w:r>
    </w:p>
    <w:p>
      <w:pPr>
        <w:numPr>
          <w:ilvl w:val="0"/>
          <w:numId w:val="1001"/>
        </w:numPr>
        <w:pStyle w:val="Compact"/>
      </w:pPr>
      <w:r>
        <w:rPr>
          <w:bCs/>
          <w:b/>
        </w:rPr>
        <w:t xml:space="preserve">Milestone 5 (10%):</w:t>
      </w:r>
      <w:r>
        <w:t xml:space="preserve"> </w:t>
      </w:r>
      <w:r>
        <w:t xml:space="preserve">Upon completion of construction supervision and as-built handover – ARS 1,617,770</w:t>
      </w:r>
    </w:p>
    <w:p>
      <w:pPr>
        <w:pStyle w:val="FirstParagraph"/>
      </w:pPr>
      <w:r>
        <w:t xml:space="preserve">All payments shall be processed via bank transfer to the account designated by the Architect within 30 calendar days of milestone acceptance. Late payments shall accrue interest at the rate established by the Banco de la Nación Argentina for public-sector obligations.</w:t>
      </w:r>
    </w:p>
    <w:bookmarkEnd w:id="24"/>
    <w:bookmarkStart w:id="25" w:name="terms-and-conditions"/>
    <w:p>
      <w:pPr>
        <w:pStyle w:val="Heading2"/>
      </w:pPr>
      <w:r>
        <w:t xml:space="preserve">5. Terms and Conditions</w:t>
      </w:r>
    </w:p>
    <w:p>
      <w:pPr>
        <w:numPr>
          <w:ilvl w:val="0"/>
          <w:numId w:val="1002"/>
        </w:numPr>
        <w:pStyle w:val="Compact"/>
      </w:pPr>
      <w:r>
        <w:t xml:space="preserve">The Architect warrants that all deliverables shall comply with the</w:t>
      </w:r>
      <w:r>
        <w:t xml:space="preserve"> </w:t>
      </w:r>
      <w:r>
        <w:rPr>
          <w:iCs/>
          <w:i/>
        </w:rPr>
        <w:t xml:space="preserve">Código de Edificación de la Provincia de Córdoba</w:t>
      </w:r>
      <w:r>
        <w:t xml:space="preserve">, the</w:t>
      </w:r>
      <w:r>
        <w:t xml:space="preserve"> </w:t>
      </w:r>
      <w:r>
        <w:rPr>
          <w:iCs/>
          <w:i/>
        </w:rPr>
        <w:t xml:space="preserve">Plan de Ordenamiento Territorial de la Ciudad de Córdoba</w:t>
      </w:r>
      <w:r>
        <w:t xml:space="preserve">, and all applicable national regulations (Ley 24.451 – Protección del Patrimonio Cultural de la Nación, where applicable).</w:t>
      </w:r>
    </w:p>
    <w:p>
      <w:pPr>
        <w:numPr>
          <w:ilvl w:val="0"/>
          <w:numId w:val="1002"/>
        </w:numPr>
        <w:pStyle w:val="Compact"/>
      </w:pPr>
      <w:r>
        <w:t xml:space="preserve">The Architect shall maintain professional liability insurance (Seguro de Responsabilidad Profesional) with a minimum coverage of ARS 50,000,000 for the duration of the contract.</w:t>
      </w:r>
    </w:p>
    <w:p>
      <w:pPr>
        <w:numPr>
          <w:ilvl w:val="0"/>
          <w:numId w:val="1002"/>
        </w:numPr>
        <w:pStyle w:val="Compact"/>
      </w:pPr>
      <w:r>
        <w:t xml:space="preserve">All intellectual property in the architectural drawings, models, and documentation produced under this Purchase Order shall vest in the Municipalidad de Córdoba upon full payment.</w:t>
      </w:r>
    </w:p>
    <w:p>
      <w:pPr>
        <w:numPr>
          <w:ilvl w:val="0"/>
          <w:numId w:val="1002"/>
        </w:numPr>
        <w:pStyle w:val="Compact"/>
      </w:pPr>
      <w:r>
        <w:t xml:space="preserve">The Architect shall not subcontract any portion of the services without prior written authorization from the issuing entity.</w:t>
      </w:r>
    </w:p>
    <w:p>
      <w:pPr>
        <w:numPr>
          <w:ilvl w:val="0"/>
          <w:numId w:val="1002"/>
        </w:numPr>
        <w:pStyle w:val="Compact"/>
      </w:pPr>
      <w:r>
        <w:t xml:space="preserve">This Purchase Order is governed by the laws of the Province of Córdoba, Argentina, and the national laws of the Argentine Republic. Any disputes shall be resolved by the competent courts of the city of Córdoba.</w:t>
      </w:r>
    </w:p>
    <w:p>
      <w:pPr>
        <w:numPr>
          <w:ilvl w:val="0"/>
          <w:numId w:val="1002"/>
        </w:numPr>
        <w:pStyle w:val="Compact"/>
      </w:pPr>
      <w:r>
        <w:t xml:space="preserve">The Architect shall comply with all applicable labor, tax, and social security obligations under Argentine law (Ley 27.430 – Régimen de Contrataciones del Estado, as applicable to provincial entities).</w:t>
      </w:r>
    </w:p>
    <w:p>
      <w:pPr>
        <w:pStyle w:val="FirstParagraph"/>
      </w:pPr>
      <w:r>
        <w:rPr>
          <w:bCs/>
          <w:b/>
        </w:rPr>
        <w:t xml:space="preserve">NOTE:</w:t>
      </w:r>
      <w:r>
        <w:t xml:space="preserve"> </w:t>
      </w:r>
      <w:r>
        <w:t xml:space="preserve">This Purchase Order does not constitute a definitive contract until countersigned by both parties. The Architect acknowledges receipt of all project briefs, site constraints, and regulatory requirements as of the date of issue. Any modifications to scope shall be documented via a formal Change Order approved in writing by both parties.</w:t>
      </w:r>
    </w:p>
    <w:bookmarkEnd w:id="25"/>
    <w:bookmarkStart w:id="26" w:name="acceptance-and-signatures"/>
    <w:p>
      <w:pPr>
        <w:pStyle w:val="Heading2"/>
      </w:pPr>
      <w:r>
        <w:t xml:space="preserve">6. Acceptance and Signatures</w:t>
      </w:r>
    </w:p>
    <w:p>
      <w:pPr>
        <w:pStyle w:val="FirstParagraph"/>
      </w:pPr>
      <w:r>
        <w:rPr>
          <w:bCs/>
          <w:b/>
        </w:rPr>
        <w:t xml:space="preserve">For the Municipalidad de Córdoba:</w:t>
      </w:r>
    </w:p>
    <w:p>
      <w:pPr>
        <w:pStyle w:val="BodyText"/>
      </w:pPr>
      <w:r>
        <w:t xml:space="preserve">Name: Lic. Roberto Fernández</w:t>
      </w:r>
    </w:p>
    <w:p>
      <w:pPr>
        <w:pStyle w:val="BodyText"/>
      </w:pPr>
      <w:r>
        <w:t xml:space="preserve">Title: Director de Obras Públicas</w:t>
      </w:r>
    </w:p>
    <w:p>
      <w:pPr>
        <w:pStyle w:val="BodyText"/>
      </w:pPr>
      <w:r>
        <w:t xml:space="preserve">Date: ____________________</w:t>
      </w:r>
    </w:p>
    <w:p>
      <w:pPr>
        <w:pStyle w:val="BodyText"/>
      </w:pPr>
      <w:r>
        <w:t xml:space="preserve">Signature: ____________________</w:t>
      </w:r>
    </w:p>
    <w:p>
      <w:pPr>
        <w:pStyle w:val="BodyText"/>
      </w:pPr>
      <w:r>
        <w:rPr>
          <w:bCs/>
          <w:b/>
        </w:rPr>
        <w:t xml:space="preserve">For the Architect / Vendor:</w:t>
      </w:r>
    </w:p>
    <w:p>
      <w:pPr>
        <w:pStyle w:val="BodyText"/>
      </w:pPr>
      <w:r>
        <w:t xml:space="preserve">Name: Arq. María Elena Vega</w:t>
      </w:r>
    </w:p>
    <w:p>
      <w:pPr>
        <w:pStyle w:val="BodyText"/>
      </w:pPr>
      <w:r>
        <w:t xml:space="preserve">Title: Socia Directora, Estudio Vega &amp; Asociados S.R.L.</w:t>
      </w:r>
    </w:p>
    <w:p>
      <w:pPr>
        <w:pStyle w:val="BodyText"/>
      </w:pPr>
      <w:r>
        <w:t xml:space="preserve">Date: ____________________</w:t>
      </w:r>
    </w:p>
    <w:p>
      <w:pPr>
        <w:pStyle w:val="BodyText"/>
      </w:pPr>
      <w:r>
        <w:t xml:space="preserve">Signature: ____________________</w:t>
      </w:r>
    </w:p>
    <w:p>
      <w:pPr>
        <w:pStyle w:val="BodyText"/>
      </w:pPr>
      <w:r>
        <w:t xml:space="preserve">Purchase Order PO-ARC-CBA-2025-0047 | Municipalidad de Córdoba – Dirección de Obras Públicas | Argentina Córdoba</w:t>
      </w:r>
    </w:p>
    <w:p>
      <w:pPr>
        <w:pStyle w:val="BodyText"/>
      </w:pPr>
      <w:r>
        <w:t xml:space="preserve">This document is valid for 60 calendar days from the date of issue. For inquiries, contact the Procurement Office at procurement@cba.gob.ar.</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Argentina Córdoba</dc:title>
  <dc:creator/>
  <dc:language>en</dc:language>
  <cp:keywords/>
  <dcterms:created xsi:type="dcterms:W3CDTF">2026-10-10T03:01:11Z</dcterms:created>
  <dcterms:modified xsi:type="dcterms:W3CDTF">2026-10-10T03:01:11Z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