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Architectural Services Procurement Document</w:t>
      </w:r>
    </w:p>
    <w:p>
      <w:pPr>
        <w:pStyle w:val="BodyText"/>
      </w:pPr>
      <w:r>
        <w:t xml:space="preserve">Brisbane, Queensland, Australia</w:t>
      </w:r>
    </w:p>
    <w:p>
      <w:pPr>
        <w:pStyle w:val="BodyText"/>
      </w:pPr>
      <w:r>
        <w:t xml:space="preserve">PO No: BRB-ARC-2025-0472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BRB-ARC-2025-0472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Commencement Date:</w:t>
            </w:r>
          </w:p>
        </w:tc>
        <w:tc>
          <w:tcPr/>
          <w:p>
            <w:pPr>
              <w:pStyle w:val="Compact"/>
              <w:jc w:val="left"/>
            </w:pPr>
            <w:r>
              <w:t xml:space="preserve">1 July 2025</w:t>
            </w:r>
          </w:p>
        </w:tc>
      </w:tr>
      <w:tr>
        <w:tc>
          <w:tcPr/>
          <w:p>
            <w:pPr>
              <w:pStyle w:val="Compact"/>
              <w:jc w:val="left"/>
            </w:pPr>
            <w:r>
              <w:rPr>
                <w:bCs/>
                <w:b/>
              </w:rPr>
              <w:t xml:space="preserve">Project Location:</w:t>
            </w:r>
          </w:p>
        </w:tc>
        <w:tc>
          <w:tcPr/>
          <w:p>
            <w:pPr>
              <w:pStyle w:val="Compact"/>
              <w:jc w:val="left"/>
            </w:pPr>
            <w:r>
              <w:t xml:space="preserve">42 River Street, South Brisbane, Queensland 4101, Australia</w:t>
            </w:r>
          </w:p>
        </w:tc>
      </w:tr>
      <w:tr>
        <w:tc>
          <w:tcPr/>
          <w:p>
            <w:pPr>
              <w:pStyle w:val="Compact"/>
              <w:jc w:val="left"/>
            </w:pPr>
            <w:r>
              <w:rPr>
                <w:bCs/>
                <w:b/>
              </w:rPr>
              <w:t xml:space="preserve">Payment Terms:</w:t>
            </w:r>
          </w:p>
        </w:tc>
        <w:tc>
          <w:tcPr/>
          <w:p>
            <w:pPr>
              <w:pStyle w:val="Compact"/>
              <w:jc w:val="left"/>
            </w:pPr>
            <w:r>
              <w:t xml:space="preserve">Net 30 days from invoice date, in accordance with Australian commercial practice</w:t>
            </w:r>
          </w:p>
        </w:tc>
      </w:tr>
      <w:tr>
        <w:tc>
          <w:tcPr/>
          <w:p>
            <w:pPr>
              <w:pStyle w:val="Compact"/>
              <w:jc w:val="left"/>
            </w:pPr>
            <w:r>
              <w:rPr>
                <w:bCs/>
                <w:b/>
              </w:rPr>
              <w:t xml:space="preserve">Currency:</w:t>
            </w:r>
          </w:p>
        </w:tc>
        <w:tc>
          <w:tcPr/>
          <w:p>
            <w:pPr>
              <w:pStyle w:val="Compact"/>
              <w:jc w:val="left"/>
            </w:pPr>
            <w:r>
              <w:t xml:space="preserve">Australian Dollars (AUD)</w:t>
            </w:r>
          </w:p>
        </w:tc>
      </w:tr>
      <w:tr>
        <w:tc>
          <w:tcPr/>
          <w:p>
            <w:pPr>
              <w:pStyle w:val="Compact"/>
              <w:jc w:val="left"/>
            </w:pPr>
            <w:r>
              <w:rPr>
                <w:bCs/>
                <w:b/>
              </w:rPr>
              <w:t xml:space="preserve">Governing Jurisdiction:</w:t>
            </w:r>
          </w:p>
        </w:tc>
        <w:tc>
          <w:tcPr/>
          <w:p>
            <w:pPr>
              <w:pStyle w:val="Compact"/>
              <w:jc w:val="left"/>
            </w:pPr>
            <w:r>
              <w:t xml:space="preserve">State of Queensland, Australia Brisbane metropolitan region</w:t>
            </w:r>
          </w:p>
        </w:tc>
      </w:tr>
    </w:tbl>
    <w:bookmarkEnd w:id="21"/>
    <w:bookmarkStart w:id="22" w:name="purchaser-buyer-information"/>
    <w:p>
      <w:pPr>
        <w:pStyle w:val="Heading2"/>
      </w:pPr>
      <w:r>
        <w:t xml:space="preserve">2. Purchaser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Sunshine Coast Development Group Pty Ltd</w:t>
            </w:r>
          </w:p>
        </w:tc>
      </w:tr>
      <w:tr>
        <w:tc>
          <w:tcPr/>
          <w:p>
            <w:pPr>
              <w:pStyle w:val="Compact"/>
              <w:jc w:val="left"/>
            </w:pPr>
            <w:r>
              <w:rPr>
                <w:bCs/>
                <w:b/>
              </w:rPr>
              <w:t xml:space="preserve">ABN:</w:t>
            </w:r>
          </w:p>
        </w:tc>
        <w:tc>
          <w:tcPr/>
          <w:p>
            <w:pPr>
              <w:pStyle w:val="Compact"/>
              <w:jc w:val="left"/>
            </w:pPr>
            <w:r>
              <w:t xml:space="preserve">54 123 456 789</w:t>
            </w:r>
          </w:p>
        </w:tc>
      </w:tr>
      <w:tr>
        <w:tc>
          <w:tcPr/>
          <w:p>
            <w:pPr>
              <w:pStyle w:val="Compact"/>
              <w:jc w:val="left"/>
            </w:pPr>
            <w:r>
              <w:rPr>
                <w:bCs/>
                <w:b/>
              </w:rPr>
              <w:t xml:space="preserve">Address:</w:t>
            </w:r>
          </w:p>
        </w:tc>
        <w:tc>
          <w:tcPr/>
          <w:p>
            <w:pPr>
              <w:pStyle w:val="Compact"/>
              <w:jc w:val="left"/>
            </w:pPr>
            <w:r>
              <w:t xml:space="preserve">Suite 12, Level 3, 200 Creek Street, Brisbane, Queensland 4000, Australia</w:t>
            </w:r>
          </w:p>
        </w:tc>
      </w:tr>
      <w:tr>
        <w:tc>
          <w:tcPr/>
          <w:p>
            <w:pPr>
              <w:pStyle w:val="Compact"/>
              <w:jc w:val="left"/>
            </w:pPr>
            <w:r>
              <w:rPr>
                <w:bCs/>
                <w:b/>
              </w:rPr>
              <w:t xml:space="preserve">Contact Person:</w:t>
            </w:r>
          </w:p>
        </w:tc>
        <w:tc>
          <w:tcPr/>
          <w:p>
            <w:pPr>
              <w:pStyle w:val="Compact"/>
              <w:jc w:val="left"/>
            </w:pPr>
            <w:r>
              <w:t xml:space="preserve">Ms. Karen Whitfield, Procurement Manager</w:t>
            </w:r>
          </w:p>
        </w:tc>
      </w:tr>
      <w:tr>
        <w:tc>
          <w:tcPr/>
          <w:p>
            <w:pPr>
              <w:pStyle w:val="Compact"/>
              <w:jc w:val="left"/>
            </w:pPr>
            <w:r>
              <w:rPr>
                <w:bCs/>
                <w:b/>
              </w:rPr>
              <w:t xml:space="preserve">Email:</w:t>
            </w:r>
          </w:p>
        </w:tc>
        <w:tc>
          <w:tcPr/>
          <w:p>
            <w:pPr>
              <w:pStyle w:val="Compact"/>
              <w:jc w:val="left"/>
            </w:pPr>
            <w:r>
              <w:t xml:space="preserve">k.whitfield@scdg.com.au</w:t>
            </w:r>
          </w:p>
        </w:tc>
      </w:tr>
      <w:tr>
        <w:tc>
          <w:tcPr/>
          <w:p>
            <w:pPr>
              <w:pStyle w:val="Compact"/>
              <w:jc w:val="left"/>
            </w:pPr>
            <w:r>
              <w:rPr>
                <w:bCs/>
                <w:b/>
              </w:rPr>
              <w:t xml:space="preserve">Phone:</w:t>
            </w:r>
          </w:p>
        </w:tc>
        <w:tc>
          <w:tcPr/>
          <w:p>
            <w:pPr>
              <w:pStyle w:val="Compact"/>
              <w:jc w:val="left"/>
            </w:pPr>
            <w:r>
              <w:t xml:space="preserve">+61 7 3100 4521</w:t>
            </w:r>
          </w:p>
        </w:tc>
      </w:tr>
    </w:tbl>
    <w:bookmarkEnd w:id="22"/>
    <w:bookmarkStart w:id="23" w:name="supplier-architect-information"/>
    <w:p>
      <w:pPr>
        <w:pStyle w:val="Heading2"/>
      </w:pPr>
      <w:r>
        <w:t xml:space="preserve">3. Supplier (Architect)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Meridian Architectural Studio Pty Ltd</w:t>
            </w:r>
          </w:p>
        </w:tc>
      </w:tr>
      <w:tr>
        <w:tc>
          <w:tcPr/>
          <w:p>
            <w:pPr>
              <w:pStyle w:val="Compact"/>
              <w:jc w:val="left"/>
            </w:pPr>
            <w:r>
              <w:rPr>
                <w:bCs/>
                <w:b/>
              </w:rPr>
              <w:t xml:space="preserve">ABN:</w:t>
            </w:r>
          </w:p>
        </w:tc>
        <w:tc>
          <w:tcPr/>
          <w:p>
            <w:pPr>
              <w:pStyle w:val="Compact"/>
              <w:jc w:val="left"/>
            </w:pPr>
            <w:r>
              <w:t xml:space="preserve">87 987 654 321</w:t>
            </w:r>
          </w:p>
        </w:tc>
      </w:tr>
      <w:tr>
        <w:tc>
          <w:tcPr/>
          <w:p>
            <w:pPr>
              <w:pStyle w:val="Compact"/>
              <w:jc w:val="left"/>
            </w:pPr>
            <w:r>
              <w:rPr>
                <w:bCs/>
                <w:b/>
              </w:rPr>
              <w:t xml:space="preserve">Address:</w:t>
            </w:r>
          </w:p>
        </w:tc>
        <w:tc>
          <w:tcPr/>
          <w:p>
            <w:pPr>
              <w:pStyle w:val="Compact"/>
              <w:jc w:val="left"/>
            </w:pPr>
            <w:r>
              <w:t xml:space="preserve">Level 5, 140 Ann Street, Brisbane, Queensland 4000, Australia</w:t>
            </w:r>
          </w:p>
        </w:tc>
      </w:tr>
      <w:tr>
        <w:tc>
          <w:tcPr/>
          <w:p>
            <w:pPr>
              <w:pStyle w:val="Compact"/>
              <w:jc w:val="left"/>
            </w:pPr>
            <w:r>
              <w:rPr>
                <w:bCs/>
                <w:b/>
              </w:rPr>
              <w:t xml:space="preserve">Principal Architect:</w:t>
            </w:r>
          </w:p>
        </w:tc>
        <w:tc>
          <w:tcPr/>
          <w:p>
            <w:pPr>
              <w:pStyle w:val="Compact"/>
              <w:jc w:val="left"/>
            </w:pPr>
            <w:r>
              <w:t xml:space="preserve">Mr. David Chen, AIA, RIBA, Registered Architect (Queensland)</w:t>
            </w:r>
          </w:p>
        </w:tc>
      </w:tr>
      <w:tr>
        <w:tc>
          <w:tcPr/>
          <w:p>
            <w:pPr>
              <w:pStyle w:val="Compact"/>
              <w:jc w:val="left"/>
            </w:pPr>
            <w:r>
              <w:rPr>
                <w:bCs/>
                <w:b/>
              </w:rPr>
              <w:t xml:space="preserve">Registration No.:</w:t>
            </w:r>
          </w:p>
        </w:tc>
        <w:tc>
          <w:tcPr/>
          <w:p>
            <w:pPr>
              <w:pStyle w:val="Compact"/>
              <w:jc w:val="left"/>
            </w:pPr>
            <w:r>
              <w:t xml:space="preserve">QRA-2019-004582 (Board of Architects, Queensland)</w:t>
            </w:r>
          </w:p>
        </w:tc>
      </w:tr>
      <w:tr>
        <w:tc>
          <w:tcPr/>
          <w:p>
            <w:pPr>
              <w:pStyle w:val="Compact"/>
              <w:jc w:val="left"/>
            </w:pPr>
            <w:r>
              <w:rPr>
                <w:bCs/>
                <w:b/>
              </w:rPr>
              <w:t xml:space="preserve">Email:</w:t>
            </w:r>
          </w:p>
        </w:tc>
        <w:tc>
          <w:tcPr/>
          <w:p>
            <w:pPr>
              <w:pStyle w:val="Compact"/>
              <w:jc w:val="left"/>
            </w:pPr>
            <w:r>
              <w:t xml:space="preserve">d.chen@meridianarch.com.au</w:t>
            </w:r>
          </w:p>
        </w:tc>
      </w:tr>
      <w:tr>
        <w:tc>
          <w:tcPr/>
          <w:p>
            <w:pPr>
              <w:pStyle w:val="Compact"/>
              <w:jc w:val="left"/>
            </w:pPr>
            <w:r>
              <w:rPr>
                <w:bCs/>
                <w:b/>
              </w:rPr>
              <w:t xml:space="preserve">Phone:</w:t>
            </w:r>
          </w:p>
        </w:tc>
        <w:tc>
          <w:tcPr/>
          <w:p>
            <w:pPr>
              <w:pStyle w:val="Compact"/>
              <w:jc w:val="left"/>
            </w:pPr>
            <w:r>
              <w:t xml:space="preserve">+61 7 3221 8834</w:t>
            </w:r>
          </w:p>
        </w:tc>
      </w:tr>
    </w:tbl>
    <w:bookmarkEnd w:id="23"/>
    <w:bookmarkStart w:id="24" w:name="scope-of-architectural-services"/>
    <w:p>
      <w:pPr>
        <w:pStyle w:val="Heading2"/>
      </w:pPr>
      <w:r>
        <w:t xml:space="preserve">4. Scope of Architectural Services</w:t>
      </w:r>
    </w:p>
    <w:p>
      <w:pPr>
        <w:pStyle w:val="FirstParagraph"/>
      </w:pPr>
      <w:r>
        <w:t xml:space="preserve">This Purchase Order is issued to procure the full range of Architect services for the design, documentation, and project management of a mixed-use commercial and residential development located in South Brisbane, Queensland, Australia. The Architect shall deliver all services in strict compliance with the National Construction Code (NCC), the Building Act 1975 (Qld), and all applicable Brisbane City Council planning and development regulations.</w:t>
      </w:r>
    </w:p>
    <w:p>
      <w:pPr>
        <w:pStyle w:val="BodyText"/>
      </w:pPr>
      <w:r>
        <w:t xml:space="preserve">The Architect is required to provide the following deliverables as part of this Purchase Order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Concept Design and Feasibility Study for mixed-use development (approx. 4,200 m² GFA)</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Detailed Design Development including 3D visualisations, material specifications, and structural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Construction Documentation and Tender Drawings (full set, A1 scale, 120+ sheets)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Statutory Approvals and DA Submission to Brisbane City Council</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Construction Phase – Site Supervision, Architectural Compliance, and Progress Inspections (estimated 18 months)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06</w:t>
            </w:r>
          </w:p>
        </w:tc>
        <w:tc>
          <w:tcPr/>
          <w:p>
            <w:pPr>
              <w:pStyle w:val="Compact"/>
              <w:jc w:val="left"/>
            </w:pPr>
            <w:r>
              <w:t xml:space="preserve">As-Built Documentation and Final Handover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Sustainability and Energy Rating Certification (6-Star NCC compliance, Green Star targeting)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14,000.00</w:t>
            </w:r>
          </w:p>
        </w:tc>
        <w:tc>
          <w:tcPr/>
          <w:p>
            <w:pPr>
              <w:pStyle w:val="Compact"/>
              <w:jc w:val="left"/>
            </w:pPr>
            <w:r>
              <w:t xml:space="preserve">14,000.00</w:t>
            </w:r>
          </w:p>
        </w:tc>
      </w:tr>
      <w:tr>
        <w:tc>
          <w:tcPr>
            <w:gridSpan w:val="5"/>
          </w:tcPr>
          <w:p>
            <w:pPr>
              <w:pStyle w:val="Compact"/>
              <w:jc w:val="left"/>
            </w:pPr>
            <w:r>
              <w:rPr>
                <w:bCs/>
                <w:b/>
              </w:rPr>
              <w:t xml:space="preserve">TOTAL CONTRACT VALUE (excl. GST)</w:t>
            </w:r>
          </w:p>
        </w:tc>
        <w:tc>
          <w:tcPr/>
          <w:p>
            <w:pPr>
              <w:pStyle w:val="Compact"/>
              <w:jc w:val="left"/>
            </w:pPr>
            <w:r>
              <w:rPr>
                <w:bCs/>
                <w:b/>
              </w:rPr>
              <w:t xml:space="preserve">501,000.00</w:t>
            </w:r>
          </w:p>
        </w:tc>
      </w:tr>
      <w:tr>
        <w:tc>
          <w:tcPr>
            <w:gridSpan w:val="5"/>
          </w:tcPr>
          <w:p>
            <w:pPr>
              <w:pStyle w:val="Compact"/>
              <w:jc w:val="left"/>
            </w:pPr>
            <w:r>
              <w:t xml:space="preserve">GST @ 10% (Australian Goods and Services Tax)</w:t>
            </w:r>
          </w:p>
        </w:tc>
        <w:tc>
          <w:tcPr/>
          <w:p>
            <w:pPr>
              <w:pStyle w:val="Compact"/>
              <w:jc w:val="left"/>
            </w:pPr>
            <w:r>
              <w:t xml:space="preserve">50,100.00</w:t>
            </w:r>
          </w:p>
        </w:tc>
      </w:tr>
      <w:tr>
        <w:tc>
          <w:tcPr>
            <w:gridSpan w:val="5"/>
          </w:tcPr>
          <w:p>
            <w:pPr>
              <w:pStyle w:val="Compact"/>
              <w:jc w:val="left"/>
            </w:pPr>
            <w:r>
              <w:rPr>
                <w:bCs/>
                <w:b/>
              </w:rPr>
              <w:t xml:space="preserve">TOTAL CONTRACT VALUE (incl. GST)</w:t>
            </w:r>
          </w:p>
        </w:tc>
        <w:tc>
          <w:tcPr/>
          <w:p>
            <w:pPr>
              <w:pStyle w:val="Compact"/>
              <w:jc w:val="left"/>
            </w:pPr>
            <w:r>
              <w:rPr>
                <w:bCs/>
                <w:b/>
              </w:rPr>
              <w:t xml:space="preserve">551,100.00</w:t>
            </w:r>
          </w:p>
        </w:tc>
      </w:tr>
    </w:tbl>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r>
      <w:tr>
        <w:tc>
          <w:tcPr/>
          <w:p>
            <w:pPr>
              <w:pStyle w:val="Compact"/>
              <w:jc w:val="left"/>
            </w:pPr>
            <w:r>
              <w:t xml:space="preserve">Upon execution of this Purchase Order and commencement</w:t>
            </w:r>
          </w:p>
        </w:tc>
        <w:tc>
          <w:tcPr/>
          <w:p>
            <w:pPr>
              <w:pStyle w:val="Compact"/>
              <w:jc w:val="left"/>
            </w:pPr>
            <w:r>
              <w:t xml:space="preserve">15%</w:t>
            </w:r>
          </w:p>
        </w:tc>
        <w:tc>
          <w:tcPr/>
          <w:p>
            <w:pPr>
              <w:pStyle w:val="Compact"/>
              <w:jc w:val="left"/>
            </w:pPr>
            <w:r>
              <w:t xml:space="preserve">82,665.00</w:t>
            </w:r>
          </w:p>
        </w:tc>
      </w:tr>
      <w:tr>
        <w:tc>
          <w:tcPr/>
          <w:p>
            <w:pPr>
              <w:pStyle w:val="Compact"/>
              <w:jc w:val="left"/>
            </w:pPr>
            <w:r>
              <w:t xml:space="preserve">Upon completion of Concept Design approval</w:t>
            </w:r>
          </w:p>
        </w:tc>
        <w:tc>
          <w:tcPr/>
          <w:p>
            <w:pPr>
              <w:pStyle w:val="Compact"/>
              <w:jc w:val="left"/>
            </w:pPr>
            <w:r>
              <w:t xml:space="preserve">15%</w:t>
            </w:r>
          </w:p>
        </w:tc>
        <w:tc>
          <w:tcPr/>
          <w:p>
            <w:pPr>
              <w:pStyle w:val="Compact"/>
              <w:jc w:val="left"/>
            </w:pPr>
            <w:r>
              <w:t xml:space="preserve">82,665.00</w:t>
            </w:r>
          </w:p>
        </w:tc>
      </w:tr>
      <w:tr>
        <w:tc>
          <w:tcPr/>
          <w:p>
            <w:pPr>
              <w:pStyle w:val="Compact"/>
              <w:jc w:val="left"/>
            </w:pPr>
            <w:r>
              <w:t xml:space="preserve">Upon completion of Detailed Design and Construction Documentation</w:t>
            </w:r>
          </w:p>
        </w:tc>
        <w:tc>
          <w:tcPr/>
          <w:p>
            <w:pPr>
              <w:pStyle w:val="Compact"/>
              <w:jc w:val="left"/>
            </w:pPr>
            <w:r>
              <w:t xml:space="preserve">25%</w:t>
            </w:r>
          </w:p>
        </w:tc>
        <w:tc>
          <w:tcPr/>
          <w:p>
            <w:pPr>
              <w:pStyle w:val="Compact"/>
              <w:jc w:val="left"/>
            </w:pPr>
            <w:r>
              <w:t xml:space="preserve">137,775.00</w:t>
            </w:r>
          </w:p>
        </w:tc>
      </w:tr>
      <w:tr>
        <w:tc>
          <w:tcPr/>
          <w:p>
            <w:pPr>
              <w:pStyle w:val="Compact"/>
              <w:jc w:val="left"/>
            </w:pPr>
            <w:r>
              <w:t xml:space="preserve">Upon DA approval by Brisbane City Council</w:t>
            </w:r>
          </w:p>
        </w:tc>
        <w:tc>
          <w:tcPr/>
          <w:p>
            <w:pPr>
              <w:pStyle w:val="Compact"/>
              <w:jc w:val="left"/>
            </w:pPr>
            <w:r>
              <w:t xml:space="preserve">10%</w:t>
            </w:r>
          </w:p>
        </w:tc>
        <w:tc>
          <w:tcPr/>
          <w:p>
            <w:pPr>
              <w:pStyle w:val="Compact"/>
              <w:jc w:val="left"/>
            </w:pPr>
            <w:r>
              <w:t xml:space="preserve">55,110.00</w:t>
            </w:r>
          </w:p>
        </w:tc>
      </w:tr>
      <w:tr>
        <w:tc>
          <w:tcPr/>
          <w:p>
            <w:pPr>
              <w:pStyle w:val="Compact"/>
              <w:jc w:val="left"/>
            </w:pPr>
            <w:r>
              <w:t xml:space="preserve">Monthly progress payments during Construction Phase</w:t>
            </w:r>
          </w:p>
        </w:tc>
        <w:tc>
          <w:tcPr/>
          <w:p>
            <w:pPr>
              <w:pStyle w:val="Compact"/>
              <w:jc w:val="left"/>
            </w:pPr>
            <w:r>
              <w:t xml:space="preserve">30%</w:t>
            </w:r>
          </w:p>
        </w:tc>
        <w:tc>
          <w:tcPr/>
          <w:p>
            <w:pPr>
              <w:pStyle w:val="Compact"/>
              <w:jc w:val="left"/>
            </w:pPr>
            <w:r>
              <w:t xml:space="preserve">165,330.00</w:t>
            </w:r>
          </w:p>
        </w:tc>
      </w:tr>
      <w:tr>
        <w:tc>
          <w:tcPr/>
          <w:p>
            <w:pPr>
              <w:pStyle w:val="Compact"/>
              <w:jc w:val="left"/>
            </w:pPr>
            <w:r>
              <w:t xml:space="preserve">Upon final handover and As-Built delivery</w:t>
            </w:r>
          </w:p>
        </w:tc>
        <w:tc>
          <w:tcPr/>
          <w:p>
            <w:pPr>
              <w:pStyle w:val="Compact"/>
              <w:jc w:val="left"/>
            </w:pPr>
            <w:r>
              <w:t xml:space="preserve">5%</w:t>
            </w:r>
          </w:p>
        </w:tc>
        <w:tc>
          <w:tcPr/>
          <w:p>
            <w:pPr>
              <w:pStyle w:val="Compact"/>
              <w:jc w:val="left"/>
            </w:pPr>
            <w:r>
              <w:t xml:space="preserve">27,555.00</w:t>
            </w:r>
          </w:p>
        </w:tc>
      </w:tr>
    </w:tbl>
    <w:bookmarkEnd w:id="25"/>
    <w:bookmarkStart w:id="26" w:name="terms-and-conditions"/>
    <w:p>
      <w:pPr>
        <w:pStyle w:val="Heading2"/>
      </w:pPr>
      <w:r>
        <w:t xml:space="preserve">6. Terms and Conditions</w:t>
      </w:r>
    </w:p>
    <w:p>
      <w:pPr>
        <w:pStyle w:val="FirstParagraph"/>
      </w:pPr>
      <w:r>
        <w:rPr>
          <w:bCs/>
          <w:b/>
        </w:rPr>
        <w:t xml:space="preserve">Important:</w:t>
      </w:r>
      <w:r>
        <w:t xml:space="preserve"> </w:t>
      </w:r>
      <w:r>
        <w:t xml:space="preserve">This Purchase Order is governed by the laws of the State of Queensland, Australia. All disputes shall be resolved in the courts of Brisbane, Queensland. The Architect must maintain professional indemnity insurance of no less than AUD 5,000,000 per claim throughout the duration of this engagement, as required under the Architects Act 2005 (Qld).</w:t>
      </w:r>
    </w:p>
    <w:p>
      <w:pPr>
        <w:pStyle w:val="BodyText"/>
      </w:pPr>
      <w:r>
        <w:t xml:space="preserve">The Architect acknowledges that all deliverables must comply with the Australian Standards (AS) series relevant to building design, including AS 1668 (Ventilation), AS 3745 (Emergency Evacuation), and AS/NZS 1170 (Structural Design Actions). The Architect shall coordinate with all specialist consultants (structural, mechanical, electrical, hydraulic) and ensure that the final documentation package is suitable for submission to Brisbane City Council under the Planning Act 2016 (Qld).</w:t>
      </w:r>
    </w:p>
    <w:p>
      <w:pPr>
        <w:pStyle w:val="BodyText"/>
      </w:pPr>
      <w:r>
        <w:t xml:space="preserve">Any variations to the scope of work outlined in this Purchase Order must be agreed in writing by both parties prior to commencement. The Architect shall provide a written variation request detailing the impact on cost and programme. All intellectual property rights in the Architect's designs, drawings, and documentation shall vest in the Purchaser upon full payment of the contract sum, subject to the Architect retaining the right to use the work for portfolio and marketing purposes with prior written consent.</w:t>
      </w:r>
    </w:p>
    <w:p>
      <w:pPr>
        <w:pStyle w:val="BodyText"/>
      </w:pPr>
      <w:r>
        <w:t xml:space="preserve">The Architect warrants that all services will be performed with the skill, care, and diligence expected of a reasonably competent registered Architect practising in Brisbane, Queensland, Australia. The Architect shall not subcontract any portion of the Architectural services without the prior written consent of the Purchaser.</w:t>
      </w:r>
    </w:p>
    <w:bookmarkEnd w:id="26"/>
    <w:bookmarkStart w:id="27" w:name="acceptance-and-authorisation"/>
    <w:p>
      <w:pPr>
        <w:pStyle w:val="Heading2"/>
      </w:pPr>
      <w:r>
        <w:t xml:space="preserve">7. Acceptance and Authorisation</w:t>
      </w:r>
    </w:p>
    <w:p>
      <w:pPr>
        <w:pStyle w:val="FirstParagraph"/>
      </w:pPr>
      <w:r>
        <w:t xml:space="preserve">This Purchase Order is issued and authorised by the undersigned on behalf of Sunshine Coast Development Group Pty Ltd. The Architect is requested to confirm acceptance of this Purchase Order by signing below and returning a copy to the Purchaser within five (5) business days of receipt. Failure to respond within this period shall be taken as acceptance of the terms herein.</w:t>
      </w:r>
    </w:p>
    <w:bookmarkEnd w:id="27"/>
    <w:p>
      <w:pPr>
        <w:pStyle w:val="BodyText"/>
      </w:pPr>
      <w:r>
        <w:rPr>
          <w:bCs/>
          <w:b/>
        </w:rPr>
        <w:t xml:space="preserve">For and on behalf of the Purchaser:</w:t>
      </w:r>
    </w:p>
    <w:p>
      <w:pPr>
        <w:pStyle w:val="BodyText"/>
      </w:pPr>
      <w:r>
        <w:rPr>
          <w:bCs/>
          <w:b/>
        </w:rPr>
        <w:t xml:space="preserve">Ms. Karen Whitfield</w:t>
      </w:r>
      <w:r>
        <w:br/>
      </w:r>
      <w:r>
        <w:t xml:space="preserve">Procurement Manager</w:t>
      </w:r>
      <w:r>
        <w:br/>
      </w:r>
      <w:r>
        <w:t xml:space="preserve">Sunshine Coast Development Group Pty Ltd</w:t>
      </w:r>
      <w:r>
        <w:br/>
      </w:r>
      <w:r>
        <w:t xml:space="preserve">Date: _______________</w:t>
      </w:r>
    </w:p>
    <w:p>
      <w:pPr>
        <w:pStyle w:val="BodyText"/>
      </w:pPr>
      <w:r>
        <w:rPr>
          <w:bCs/>
          <w:b/>
        </w:rPr>
        <w:t xml:space="preserve">For and on behalf of the Architect (Supplier):</w:t>
      </w:r>
    </w:p>
    <w:p>
      <w:pPr>
        <w:pStyle w:val="BodyText"/>
      </w:pPr>
      <w:r>
        <w:rPr>
          <w:bCs/>
          <w:b/>
        </w:rPr>
        <w:t xml:space="preserve">Mr. David Chen</w:t>
      </w:r>
      <w:r>
        <w:br/>
      </w:r>
      <w:r>
        <w:t xml:space="preserve">Principal Architect</w:t>
      </w:r>
      <w:r>
        <w:br/>
      </w:r>
      <w:r>
        <w:t xml:space="preserve">Meridian Architectural Studio Pty Ltd</w:t>
      </w:r>
      <w:r>
        <w:br/>
      </w:r>
      <w:r>
        <w:t xml:space="preserve">Date: _______________</w:t>
      </w:r>
    </w:p>
    <w:p>
      <w:pPr>
        <w:pStyle w:val="BodyText"/>
      </w:pPr>
      <w:r>
        <w:t xml:space="preserve">This Purchase Order (BRB-ARC-2025-0472) is a binding commercial document issued in Brisbane, Queensland, Australia. It constitutes a formal request for Architect services and, upon acceptance, forms a legally enforceable contract between the parties. All references to "Australia Brisbane" in this document refer to the City of Brisbane, State of Queensland, Commonwealth of Australia. This document is subject to the Australian Consumer Law (Schedule 2, Competition and Consumer Act 2010 (Cth)).</w:t>
      </w:r>
    </w:p>
    <w:p>
      <w:pPr>
        <w:pStyle w:val="BodyText"/>
      </w:pPr>
      <w:r>
        <w:t xml:space="preserve">Document Version: 1.0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Brisbane, Australia</dc:title>
  <dc:creator/>
  <dc:language>en</dc:language>
  <cp:keywords/>
  <dcterms:created xsi:type="dcterms:W3CDTF">2026-10-10T03:22:39Z</dcterms:created>
  <dcterms:modified xsi:type="dcterms:W3CDTF">2026-10-10T03:22:39Z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