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Architectural Design &amp; Professional Services — Australia Sydney</w:t>
      </w:r>
    </w:p>
    <w:bookmarkEnd w:id="20"/>
    <w:p>
      <w:pPr>
        <w:pStyle w:val="BodyText"/>
      </w:pPr>
      <w:r>
        <w:rPr>
          <w:bCs/>
          <w:b/>
        </w:rPr>
        <w:t xml:space="preserve">Purchase Order No.:</w:t>
      </w:r>
      <w:r>
        <w:t xml:space="preserve"> </w:t>
      </w:r>
      <w:r>
        <w:t xml:space="preserve">PO-2025-SYD-04872</w:t>
      </w:r>
      <w:r>
        <w:br/>
      </w:r>
      <w:r>
        <w:rPr>
          <w:bCs/>
          <w:b/>
        </w:rPr>
        <w:t xml:space="preserve">Date of Issue:</w:t>
      </w:r>
      <w:r>
        <w:t xml:space="preserve"> </w:t>
      </w:r>
      <w:r>
        <w:t xml:space="preserve">14 June 2025</w:t>
      </w:r>
      <w:r>
        <w:br/>
      </w:r>
      <w:r>
        <w:rPr>
          <w:bCs/>
          <w:b/>
        </w:rPr>
        <w:t xml:space="preserve">Required Completion Date:</w:t>
      </w:r>
      <w:r>
        <w:t xml:space="preserve"> </w:t>
      </w:r>
      <w:r>
        <w:t xml:space="preserve">28 November 2025</w:t>
      </w:r>
    </w:p>
    <w:p>
      <w:pPr>
        <w:pStyle w:val="BodyText"/>
      </w:pPr>
      <w:r>
        <w:rPr>
          <w:bCs/>
          <w:b/>
        </w:rPr>
        <w:t xml:space="preserve">Project Reference:</w:t>
      </w:r>
      <w:r>
        <w:t xml:space="preserve"> </w:t>
      </w:r>
      <w:r>
        <w:t xml:space="preserve">ARC-SYD-2025-0193</w:t>
      </w:r>
      <w:r>
        <w:br/>
      </w:r>
      <w:r>
        <w:rPr>
          <w:bCs/>
          <w:b/>
        </w:rPr>
        <w:t xml:space="preserve">Payment Terms:</w:t>
      </w:r>
      <w:r>
        <w:t xml:space="preserve"> </w:t>
      </w:r>
      <w:r>
        <w:t xml:space="preserve">Net 30 Days</w:t>
      </w:r>
      <w:r>
        <w:br/>
      </w:r>
      <w:r>
        <w:rPr>
          <w:bCs/>
          <w:b/>
        </w:rPr>
        <w:t xml:space="preserve">Currency:</w:t>
      </w:r>
      <w:r>
        <w:t xml:space="preserve"> </w:t>
      </w:r>
      <w:r>
        <w:t xml:space="preserve">Australian Dollar (AUD)</w:t>
      </w:r>
    </w:p>
    <w:bookmarkStart w:id="21" w:name="buyer-information"/>
    <w:p>
      <w:pPr>
        <w:pStyle w:val="Heading2"/>
      </w:pPr>
      <w:r>
        <w:t xml:space="preserve">1. Buyer Information</w:t>
      </w:r>
    </w:p>
    <w:p>
      <w:pPr>
        <w:pStyle w:val="FirstParagraph"/>
      </w:pPr>
      <w:r>
        <w:rPr>
          <w:bCs/>
          <w:b/>
        </w:rPr>
        <w:t xml:space="preserve">Meridian Development Group Pty Ltd</w:t>
      </w:r>
      <w:r>
        <w:br/>
      </w:r>
      <w:r>
        <w:t xml:space="preserve">Level 12, 200 George Street, Sydney NSW 2000, Australia</w:t>
      </w:r>
      <w:r>
        <w:br/>
      </w:r>
      <w:r>
        <w:t xml:space="preserve">ABN: 48 123 456 789</w:t>
      </w:r>
      <w:r>
        <w:br/>
      </w:r>
      <w:r>
        <w:t xml:space="preserve">Contact: Mr. James Whitfield, Director of Procurement</w:t>
      </w:r>
      <w:r>
        <w:br/>
      </w:r>
      <w:r>
        <w:t xml:space="preserve">Email: procurement@meridiandev.com.au</w:t>
      </w:r>
      <w:r>
        <w:br/>
      </w:r>
      <w:r>
        <w:t xml:space="preserve">Phone: +61 2 9355 4200</w:t>
      </w:r>
    </w:p>
    <w:bookmarkEnd w:id="21"/>
    <w:bookmarkStart w:id="22" w:name="supplier-architect-information"/>
    <w:p>
      <w:pPr>
        <w:pStyle w:val="Heading2"/>
      </w:pPr>
      <w:r>
        <w:t xml:space="preserve">2. Supplier / Architect Information</w:t>
      </w:r>
    </w:p>
    <w:p>
      <w:pPr>
        <w:pStyle w:val="FirstParagraph"/>
      </w:pPr>
      <w:r>
        <w:rPr>
          <w:bCs/>
          <w:b/>
        </w:rPr>
        <w:t xml:space="preserve">Harbourline Architects &amp; Design Studio</w:t>
      </w:r>
      <w:r>
        <w:br/>
      </w:r>
      <w:r>
        <w:t xml:space="preserve">45 Parramatta Road, Ultimo NSW 2007, Australia Sydney</w:t>
      </w:r>
      <w:r>
        <w:br/>
      </w:r>
      <w:r>
        <w:t xml:space="preserve">ABN: 21 987 654 321</w:t>
      </w:r>
      <w:r>
        <w:br/>
      </w:r>
      <w:r>
        <w:t xml:space="preserve">Lead Architect: Ms. Elena Vasquez, AIA, RIBA, ARAA</w:t>
      </w:r>
      <w:r>
        <w:br/>
      </w:r>
      <w:r>
        <w:t xml:space="preserve">Email: projects@harbourlinearchitects.com.au</w:t>
      </w:r>
      <w:r>
        <w:br/>
      </w:r>
      <w:r>
        <w:t xml:space="preserve">Phone: +61 2 9280 7744</w:t>
      </w:r>
      <w:r>
        <w:br/>
      </w:r>
      <w:r>
        <w:t xml:space="preserve">Registration: NSW Architectural Registration Board, Reg. No. ARB-2019-0447</w:t>
      </w:r>
    </w:p>
    <w:bookmarkEnd w:id="22"/>
    <w:bookmarkStart w:id="23" w:name="description-of-architectural-services"/>
    <w:p>
      <w:pPr>
        <w:pStyle w:val="Heading2"/>
      </w:pPr>
      <w:r>
        <w:t xml:space="preserve">3. Description of Architectural Services</w:t>
      </w:r>
    </w:p>
    <w:p>
      <w:pPr>
        <w:pStyle w:val="FirstParagraph"/>
      </w:pPr>
      <w:r>
        <w:t xml:space="preserve">This Purchase Order is issued by Meridian Development Group Pty Ltd to Harbourline Architects &amp; Design Studio for the provision of comprehensive architectural design, documentation, and project management services for the construction of a mixed-use residential and commercial development located at 18-22 Harbour Street, Pyrmont, Australia Sydney NSW 2009. The Architect shall be responsible for all design phases from concept through to construction administration, in full compliance with the Building Code of Australia (BCA), the Environmental Planning and Assessment Act 1979 (NSW), and all applicable local council regulations of the City of Sydney Council.</w:t>
      </w:r>
    </w:p>
    <w:p>
      <w:pPr>
        <w:pStyle w:val="BodyText"/>
      </w:pPr>
      <w:r>
        <w:t xml:space="preserve">The Architect shall deliver all documentation in accordance with the RIBA Plan of Work 2020 framework, adapted to Australian practice standards, and shall coordinate with structural engineers, MEP consultants, landscape architects, and the project's quantity surveyor to ensure a fully integrated design package suitable for tender and construction.</w:t>
      </w:r>
    </w:p>
    <w:bookmarkEnd w:id="23"/>
    <w:bookmarkStart w:id="24" w:name="scope-of-work-line-items"/>
    <w:p>
      <w:pPr>
        <w:pStyle w:val="Heading2"/>
      </w:pPr>
      <w:r>
        <w:t xml:space="preserve">4. Scope of Work &amp;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Phase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Concept Design &amp; Feasibility Study — including site analysis, massing studies, and preliminary layout options for the 18-22 Harbour Street development, Australia Sydney</w:t>
            </w:r>
          </w:p>
        </w:tc>
        <w:tc>
          <w:tcPr/>
          <w:p>
            <w:pPr>
              <w:pStyle w:val="Compact"/>
              <w:jc w:val="left"/>
            </w:pPr>
            <w:r>
              <w:t xml:space="preserve">Phase 1</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Schematic Design Development — detailed architectural drawings, material specifications, and 3D visualisations for council submission</w:t>
            </w:r>
          </w:p>
        </w:tc>
        <w:tc>
          <w:tcPr/>
          <w:p>
            <w:pPr>
              <w:pStyle w:val="Compact"/>
              <w:jc w:val="left"/>
            </w:pPr>
            <w:r>
              <w:t xml:space="preserve">Phase 2</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Detailed Design &amp; Construction Documentation — full set of working drawings, specifications, and schedules compliant with BCA and City of Sydney requirements</w:t>
            </w:r>
          </w:p>
        </w:tc>
        <w:tc>
          <w:tcPr/>
          <w:p>
            <w:pPr>
              <w:pStyle w:val="Compact"/>
              <w:jc w:val="left"/>
            </w:pPr>
            <w:r>
              <w:t xml:space="preserve">Phase 3</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115,000.00</w:t>
            </w:r>
          </w:p>
        </w:tc>
        <w:tc>
          <w:tcPr/>
          <w:p>
            <w:pPr>
              <w:pStyle w:val="Compact"/>
              <w:jc w:val="left"/>
            </w:pPr>
            <w:r>
              <w:t xml:space="preserve">115,000.00</w:t>
            </w:r>
          </w:p>
        </w:tc>
      </w:tr>
      <w:tr>
        <w:tc>
          <w:tcPr/>
          <w:p>
            <w:pPr>
              <w:pStyle w:val="Compact"/>
              <w:jc w:val="left"/>
            </w:pPr>
            <w:r>
              <w:t xml:space="preserve">04</w:t>
            </w:r>
          </w:p>
        </w:tc>
        <w:tc>
          <w:tcPr/>
          <w:p>
            <w:pPr>
              <w:pStyle w:val="Compact"/>
              <w:jc w:val="left"/>
            </w:pPr>
            <w:r>
              <w:t xml:space="preserve">Development Application (DA) &amp; Construction Certificate (CC) Support — preparation and lodgement of all documentation with City of Sydney Council, Australia Sydney</w:t>
            </w:r>
          </w:p>
        </w:tc>
        <w:tc>
          <w:tcPr/>
          <w:p>
            <w:pPr>
              <w:pStyle w:val="Compact"/>
              <w:jc w:val="left"/>
            </w:pPr>
            <w:r>
              <w:t xml:space="preserve">Phase 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05</w:t>
            </w:r>
          </w:p>
        </w:tc>
        <w:tc>
          <w:tcPr/>
          <w:p>
            <w:pPr>
              <w:pStyle w:val="Compact"/>
              <w:jc w:val="left"/>
            </w:pPr>
            <w:r>
              <w:t xml:space="preserve">Construction Administration &amp; Site Supervision — weekly site inspections, progress meetings, variation assessments, and practical completion certification</w:t>
            </w:r>
          </w:p>
        </w:tc>
        <w:tc>
          <w:tcPr/>
          <w:p>
            <w:pPr>
              <w:pStyle w:val="Compact"/>
              <w:jc w:val="left"/>
            </w:pPr>
            <w:r>
              <w:t xml:space="preserve">Phase 5</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4,200.00</w:t>
            </w:r>
          </w:p>
        </w:tc>
        <w:tc>
          <w:tcPr/>
          <w:p>
            <w:pPr>
              <w:pStyle w:val="Compact"/>
              <w:jc w:val="left"/>
            </w:pPr>
            <w:r>
              <w:t xml:space="preserve">109,200.00</w:t>
            </w:r>
          </w:p>
        </w:tc>
      </w:tr>
      <w:tr>
        <w:tc>
          <w:tcPr/>
          <w:p>
            <w:pPr>
              <w:pStyle w:val="Compact"/>
              <w:jc w:val="left"/>
            </w:pPr>
            <w:r>
              <w:t xml:space="preserve">06</w:t>
            </w:r>
          </w:p>
        </w:tc>
        <w:tc>
          <w:tcPr/>
          <w:p>
            <w:pPr>
              <w:pStyle w:val="Compact"/>
              <w:jc w:val="left"/>
            </w:pPr>
            <w:r>
              <w:t xml:space="preserve">Defects Liability Period Support — post-completion inspections and rectification coordination for 12 months</w:t>
            </w:r>
          </w:p>
        </w:tc>
        <w:tc>
          <w:tcPr/>
          <w:p>
            <w:pPr>
              <w:pStyle w:val="Compact"/>
              <w:jc w:val="left"/>
            </w:pPr>
            <w:r>
              <w:t xml:space="preserve">Phase 6</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22,500.00</w:t>
            </w:r>
          </w:p>
        </w:tc>
        <w:tc>
          <w:tcPr/>
          <w:p>
            <w:pPr>
              <w:pStyle w:val="Compact"/>
              <w:jc w:val="left"/>
            </w:pPr>
            <w:r>
              <w:t xml:space="preserve">22,500.00</w:t>
            </w:r>
          </w:p>
        </w:tc>
      </w:tr>
      <w:tr>
        <w:tc>
          <w:tcPr>
            <w:gridSpan w:val="6"/>
          </w:tcPr>
          <w:p>
            <w:pPr>
              <w:pStyle w:val="Compact"/>
              <w:jc w:val="right"/>
            </w:pPr>
            <w:r>
              <w:t xml:space="preserve">Subtotal (AUD)</w:t>
            </w:r>
          </w:p>
        </w:tc>
        <w:tc>
          <w:tcPr/>
          <w:p>
            <w:pPr>
              <w:pStyle w:val="Compact"/>
              <w:jc w:val="left"/>
            </w:pPr>
            <w:r>
              <w:t xml:space="preserve">405,950.00</w:t>
            </w:r>
          </w:p>
        </w:tc>
      </w:tr>
      <w:tr>
        <w:tc>
          <w:tcPr>
            <w:gridSpan w:val="6"/>
          </w:tcPr>
          <w:p>
            <w:pPr>
              <w:pStyle w:val="Compact"/>
              <w:jc w:val="right"/>
            </w:pPr>
            <w:r>
              <w:t xml:space="preserve">GST (10%)</w:t>
            </w:r>
          </w:p>
        </w:tc>
        <w:tc>
          <w:tcPr/>
          <w:p>
            <w:pPr>
              <w:pStyle w:val="Compact"/>
              <w:jc w:val="left"/>
            </w:pPr>
            <w:r>
              <w:t xml:space="preserve">40,595.00</w:t>
            </w:r>
          </w:p>
        </w:tc>
      </w:tr>
      <w:tr>
        <w:tc>
          <w:tcPr>
            <w:gridSpan w:val="6"/>
          </w:tcPr>
          <w:p>
            <w:pPr>
              <w:pStyle w:val="Compact"/>
              <w:jc w:val="right"/>
            </w:pPr>
            <w:r>
              <w:t xml:space="preserve">TOTAL PURCHASE ORDER VALUE (AUD)</w:t>
            </w:r>
          </w:p>
        </w:tc>
        <w:tc>
          <w:tcPr/>
          <w:p>
            <w:pPr>
              <w:pStyle w:val="Compact"/>
              <w:jc w:val="left"/>
            </w:pPr>
            <w:r>
              <w:t xml:space="preserve">446,545.00</w:t>
            </w:r>
          </w:p>
        </w:tc>
      </w:tr>
    </w:tbl>
    <w:bookmarkEnd w:id="24"/>
    <w:bookmarkStart w:id="25" w:name="payment-schedule"/>
    <w:p>
      <w:pPr>
        <w:pStyle w:val="Heading2"/>
      </w:pPr>
      <w:r>
        <w:t xml:space="preserve">5. Payment Schedule</w:t>
      </w:r>
    </w:p>
    <w:p>
      <w:pPr>
        <w:pStyle w:val="FirstParagraph"/>
      </w:pPr>
      <w:r>
        <w:t xml:space="preserve">Payment shall be made in accordance with the following milestone schedule, with invoices submitted upon completion of each phase. All payments are subject to the terms of this Purchase Order and the Architect's professional indemnity insurance certificate being provided prior to the first payment.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(AUD, incl. GST)</w:t>
            </w:r>
          </w:p>
        </w:tc>
        <w:tc>
          <w:tcPr/>
          <w:p>
            <w:pPr>
              <w:pStyle w:val="Compact"/>
              <w:jc w:val="left"/>
            </w:pPr>
            <w:r>
              <w:t xml:space="preserve">Trigger</w:t>
            </w:r>
          </w:p>
        </w:tc>
      </w:tr>
      <w:tr>
        <w:tc>
          <w:tcPr/>
          <w:p>
            <w:pPr>
              <w:pStyle w:val="Compact"/>
              <w:jc w:val="left"/>
            </w:pPr>
            <w:r>
              <w:t xml:space="preserve">Concept Design Approval</w:t>
            </w:r>
          </w:p>
        </w:tc>
        <w:tc>
          <w:tcPr/>
          <w:p>
            <w:pPr>
              <w:pStyle w:val="Compact"/>
              <w:jc w:val="left"/>
            </w:pPr>
            <w:r>
              <w:t xml:space="preserve">12%</w:t>
            </w:r>
          </w:p>
        </w:tc>
        <w:tc>
          <w:tcPr/>
          <w:p>
            <w:pPr>
              <w:pStyle w:val="Compact"/>
              <w:jc w:val="left"/>
            </w:pPr>
            <w:r>
              <w:t xml:space="preserve">53,585.40</w:t>
            </w:r>
          </w:p>
        </w:tc>
        <w:tc>
          <w:tcPr/>
          <w:p>
            <w:pPr>
              <w:pStyle w:val="Compact"/>
              <w:jc w:val="left"/>
            </w:pPr>
            <w:r>
              <w:t xml:space="preserve">Written approval by Buyer</w:t>
            </w:r>
          </w:p>
        </w:tc>
      </w:tr>
      <w:tr>
        <w:tc>
          <w:tcPr/>
          <w:p>
            <w:pPr>
              <w:pStyle w:val="Compact"/>
              <w:jc w:val="left"/>
            </w:pPr>
            <w:r>
              <w:t xml:space="preserve">Schematic Design Approval</w:t>
            </w:r>
          </w:p>
        </w:tc>
        <w:tc>
          <w:tcPr/>
          <w:p>
            <w:pPr>
              <w:pStyle w:val="Compact"/>
              <w:jc w:val="left"/>
            </w:pPr>
            <w:r>
              <w:t xml:space="preserve">18%</w:t>
            </w:r>
          </w:p>
        </w:tc>
        <w:tc>
          <w:tcPr/>
          <w:p>
            <w:pPr>
              <w:pStyle w:val="Compact"/>
              <w:jc w:val="left"/>
            </w:pPr>
            <w:r>
              <w:t xml:space="preserve">80,378.10</w:t>
            </w:r>
          </w:p>
        </w:tc>
        <w:tc>
          <w:tcPr/>
          <w:p>
            <w:pPr>
              <w:pStyle w:val="Compact"/>
              <w:jc w:val="left"/>
            </w:pPr>
            <w:r>
              <w:t xml:space="preserve">Written approval by Buyer</w:t>
            </w:r>
          </w:p>
        </w:tc>
      </w:tr>
      <w:tr>
        <w:tc>
          <w:tcPr/>
          <w:p>
            <w:pPr>
              <w:pStyle w:val="Compact"/>
              <w:jc w:val="left"/>
            </w:pPr>
            <w:r>
              <w:t xml:space="preserve">Construction Documentation Complete</w:t>
            </w:r>
          </w:p>
        </w:tc>
        <w:tc>
          <w:tcPr/>
          <w:p>
            <w:pPr>
              <w:pStyle w:val="Compact"/>
              <w:jc w:val="left"/>
            </w:pPr>
            <w:r>
              <w:t xml:space="preserve">28%</w:t>
            </w:r>
          </w:p>
        </w:tc>
        <w:tc>
          <w:tcPr/>
          <w:p>
            <w:pPr>
              <w:pStyle w:val="Compact"/>
              <w:jc w:val="left"/>
            </w:pPr>
            <w:r>
              <w:t xml:space="preserve">125,032.60</w:t>
            </w:r>
          </w:p>
        </w:tc>
        <w:tc>
          <w:tcPr/>
          <w:p>
            <w:pPr>
              <w:pStyle w:val="Compact"/>
              <w:jc w:val="left"/>
            </w:pPr>
            <w:r>
              <w:t xml:space="preserve">Full drawing set delivered</w:t>
            </w:r>
          </w:p>
        </w:tc>
      </w:tr>
      <w:tr>
        <w:tc>
          <w:tcPr/>
          <w:p>
            <w:pPr>
              <w:pStyle w:val="Compact"/>
              <w:jc w:val="left"/>
            </w:pPr>
            <w:r>
              <w:t xml:space="preserve">DA &amp; CC Approval</w:t>
            </w:r>
          </w:p>
        </w:tc>
        <w:tc>
          <w:tcPr/>
          <w:p>
            <w:pPr>
              <w:pStyle w:val="Compact"/>
              <w:jc w:val="left"/>
            </w:pPr>
            <w:r>
              <w:t xml:space="preserve">10%</w:t>
            </w:r>
          </w:p>
        </w:tc>
        <w:tc>
          <w:tcPr/>
          <w:p>
            <w:pPr>
              <w:pStyle w:val="Compact"/>
              <w:jc w:val="left"/>
            </w:pPr>
            <w:r>
              <w:t xml:space="preserve">44,654.50</w:t>
            </w:r>
          </w:p>
        </w:tc>
        <w:tc>
          <w:tcPr/>
          <w:p>
            <w:pPr>
              <w:pStyle w:val="Compact"/>
              <w:jc w:val="left"/>
            </w:pPr>
            <w:r>
              <w:t xml:space="preserve">Council approval received</w:t>
            </w:r>
          </w:p>
        </w:tc>
      </w:tr>
      <w:tr>
        <w:tc>
          <w:tcPr/>
          <w:p>
            <w:pPr>
              <w:pStyle w:val="Compact"/>
              <w:jc w:val="left"/>
            </w:pPr>
            <w:r>
              <w:t xml:space="preserve">Construction Administration (monthly)</w:t>
            </w:r>
          </w:p>
        </w:tc>
        <w:tc>
          <w:tcPr/>
          <w:p>
            <w:pPr>
              <w:pStyle w:val="Compact"/>
              <w:jc w:val="left"/>
            </w:pPr>
            <w:r>
              <w:t xml:space="preserve">24%</w:t>
            </w:r>
          </w:p>
        </w:tc>
        <w:tc>
          <w:tcPr/>
          <w:p>
            <w:pPr>
              <w:pStyle w:val="Compact"/>
              <w:jc w:val="left"/>
            </w:pPr>
            <w:r>
              <w:t xml:space="preserve">107,170.80</w:t>
            </w:r>
          </w:p>
        </w:tc>
        <w:tc>
          <w:tcPr/>
          <w:p>
            <w:pPr>
              <w:pStyle w:val="Compact"/>
              <w:jc w:val="left"/>
            </w:pPr>
            <w:r>
              <w:t xml:space="preserve">Monthly progress certification</w:t>
            </w:r>
          </w:p>
        </w:tc>
      </w:tr>
      <w:tr>
        <w:tc>
          <w:tcPr/>
          <w:p>
            <w:pPr>
              <w:pStyle w:val="Compact"/>
              <w:jc w:val="left"/>
            </w:pPr>
            <w:r>
              <w:t xml:space="preserve">Defects Liability Completion</w:t>
            </w:r>
          </w:p>
        </w:tc>
        <w:tc>
          <w:tcPr/>
          <w:p>
            <w:pPr>
              <w:pStyle w:val="Compact"/>
              <w:jc w:val="left"/>
            </w:pPr>
            <w:r>
              <w:t xml:space="preserve">8%</w:t>
            </w:r>
          </w:p>
        </w:tc>
        <w:tc>
          <w:tcPr/>
          <w:p>
            <w:pPr>
              <w:pStyle w:val="Compact"/>
              <w:jc w:val="left"/>
            </w:pPr>
            <w:r>
              <w:t xml:space="preserve">35,723.60</w:t>
            </w:r>
          </w:p>
        </w:tc>
        <w:tc>
          <w:tcPr/>
          <w:p>
            <w:pPr>
              <w:pStyle w:val="Compact"/>
              <w:jc w:val="left"/>
            </w:pPr>
            <w:r>
              <w:t xml:space="preserve">12-month defects period expiry</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New South Wales, Australia. Any disputes arising from this Purchase Order shall be resolved in the courts of Australia Sydney or by arbitration under the rules of the Australian Dispute Resolution Centre.</w:t>
      </w:r>
    </w:p>
    <w:p>
      <w:pPr>
        <w:numPr>
          <w:ilvl w:val="0"/>
          <w:numId w:val="1001"/>
        </w:numPr>
        <w:pStyle w:val="Compact"/>
      </w:pPr>
      <w:r>
        <w:t xml:space="preserve">The Architect warrants that all services shall be performed in a professional and workmanlike manner, consistent with the standards expected of a registered Architect in New South Wales, and in compliance with the Building Code of Australia (BCA) 2022 edition.</w:t>
      </w:r>
    </w:p>
    <w:p>
      <w:pPr>
        <w:numPr>
          <w:ilvl w:val="0"/>
          <w:numId w:val="1001"/>
        </w:numPr>
        <w:pStyle w:val="Compact"/>
      </w:pPr>
      <w:r>
        <w:t xml:space="preserve">The Architect shall maintain professional indemnity insurance with a minimum cover of AUD 5,000,000 per claim and AUD 10,000,000 in the aggregate throughout the duration of this Purchase Order and the defects liability period.</w:t>
      </w:r>
    </w:p>
    <w:p>
      <w:pPr>
        <w:numPr>
          <w:ilvl w:val="0"/>
          <w:numId w:val="1001"/>
        </w:numPr>
        <w:pStyle w:val="Compact"/>
      </w:pPr>
      <w:r>
        <w:t xml:space="preserve">All intellectual property, including but not limited to drawings, designs, 3D models, and specifications created under this Purchase Order, shall vest in Meridian Development Group Pty Ltd upon full payment of the Purchase Order value.</w:t>
      </w:r>
    </w:p>
    <w:p>
      <w:pPr>
        <w:numPr>
          <w:ilvl w:val="0"/>
          <w:numId w:val="1001"/>
        </w:numPr>
        <w:pStyle w:val="Compact"/>
      </w:pPr>
      <w:r>
        <w:t xml:space="preserve">The Architect shall comply with all applicable Australian Privacy Act 1988 obligations and shall not disclose any project information to third parties without prior written consent of the Buyer.</w:t>
      </w:r>
    </w:p>
    <w:p>
      <w:pPr>
        <w:numPr>
          <w:ilvl w:val="0"/>
          <w:numId w:val="1001"/>
        </w:numPr>
        <w:pStyle w:val="Compact"/>
      </w:pPr>
      <w:r>
        <w:t xml:space="preserve">Time is of the essence. Failure to meet the Required Completion Date of 28 November 2025 without written approval of an extension by the Buyer shall entitle the Buyer to liquidated damages of AUD 2,500 per calendar day, up to a maximum of AUD 50,000.</w:t>
      </w:r>
    </w:p>
    <w:p>
      <w:pPr>
        <w:numPr>
          <w:ilvl w:val="0"/>
          <w:numId w:val="1001"/>
        </w:numPr>
        <w:pStyle w:val="Compact"/>
      </w:pPr>
      <w:r>
        <w:t xml:space="preserve">Variations to the scope of work shall only be undertaken pursuant to a written Variation Order signed by both parties. No verbal instructions shall constitute a variation to this Purchase Order.</w:t>
      </w:r>
    </w:p>
    <w:p>
      <w:pPr>
        <w:numPr>
          <w:ilvl w:val="0"/>
          <w:numId w:val="1001"/>
        </w:numPr>
        <w:pStyle w:val="Compact"/>
      </w:pPr>
      <w:r>
        <w:t xml:space="preserve">The Architect shall attend all project coordination meetings as reasonably required by the Buyer, including but not limited to weekly site meetings at the project location in Australia Sydney.</w:t>
      </w:r>
    </w:p>
    <w:p>
      <w:pPr>
        <w:numPr>
          <w:ilvl w:val="0"/>
          <w:numId w:val="1001"/>
        </w:numPr>
        <w:pStyle w:val="Compact"/>
      </w:pPr>
      <w:r>
        <w:t xml:space="preserve">This Purchase Order shall not be assigned or subcontracted in whole or in part without the prior written consent of the Buyer. Any approved subcontracting shall not relieve the Architect of its obligations under this Purchase Order.</w:t>
      </w:r>
    </w:p>
    <w:p>
      <w:pPr>
        <w:numPr>
          <w:ilvl w:val="0"/>
          <w:numId w:val="1001"/>
        </w:numPr>
        <w:pStyle w:val="Compact"/>
      </w:pPr>
      <w:r>
        <w:t xml:space="preserve">All communications relating to this Purchase Order shall be in English and directed to the contact persons specified in Sections 1 and 2 above.</w:t>
      </w:r>
    </w:p>
    <w:bookmarkEnd w:id="26"/>
    <w:bookmarkStart w:id="27" w:name="acceptance-authorisation"/>
    <w:p>
      <w:pPr>
        <w:pStyle w:val="Heading2"/>
      </w:pPr>
      <w:r>
        <w:t xml:space="preserve">7. Acceptance &amp; Authorisation</w:t>
      </w:r>
    </w:p>
    <w:p>
      <w:pPr>
        <w:pStyle w:val="FirstParagraph"/>
      </w:pPr>
      <w:r>
        <w:t xml:space="preserve">By signing below, both parties acknowledge and agree to the terms, conditions, scope of work, and pricing set out in this Purchase Order for the provision of Architectural Services in Australia Sydney.</w:t>
      </w:r>
    </w:p>
    <w:bookmarkEnd w:id="27"/>
    <w:p>
      <w:pPr>
        <w:pStyle w:val="BodyText"/>
      </w:pPr>
      <w:r>
        <w:rPr>
          <w:bCs/>
          <w:b/>
        </w:rPr>
        <w:t xml:space="preserve">For and on behalf of Meridian Development Group Pty Ltd (Buyer)</w:t>
      </w:r>
      <w:r>
        <w:br/>
      </w:r>
      <w:r>
        <w:t xml:space="preserve">Name: James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Harbourline Architects &amp; Design Studio (Architect / Supplier)</w:t>
      </w:r>
      <w:r>
        <w:br/>
      </w:r>
      <w:r>
        <w:t xml:space="preserve">Name: Elena Vasquez, ARAA</w:t>
      </w:r>
      <w:r>
        <w:br/>
      </w:r>
      <w:r>
        <w:t xml:space="preserve">Title: Lead Architect &amp; Principal</w:t>
      </w:r>
      <w:r>
        <w:br/>
      </w:r>
      <w:r>
        <w:t xml:space="preserve">Signature: _________________________</w:t>
      </w:r>
      <w:r>
        <w:br/>
      </w:r>
      <w:r>
        <w:t xml:space="preserve">Date: _________________________</w:t>
      </w:r>
    </w:p>
    <w:p>
      <w:pPr>
        <w:pStyle w:val="BodyText"/>
      </w:pPr>
      <w:r>
        <w:t xml:space="preserve">This Purchase Order (PO-2025-SYD-04872) is issued by Meridian Development Group Pty Ltd for Architectural Services in Australia Sydney. This document is valid for 60 days from the date of issue. For queries, contact the Procurement Department at procurement@meridiandev.com.au. © 2025 Meridian Development Group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Australia Sydney</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