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Green Horizon Development Ltd.</w:t>
      </w:r>
    </w:p>
    <w:p>
      <w:pPr>
        <w:pStyle w:val="BodyText"/>
      </w:pPr>
      <w:r>
        <w:t xml:space="preserve">House 42, Road 11, Banani, Dhaka-1213, Bangladesh</w:t>
      </w:r>
    </w:p>
    <w:p>
      <w:pPr>
        <w:pStyle w:val="BodyText"/>
      </w:pPr>
      <w:r>
        <w:t xml:space="preserve">TIN: 004521876 | VAT Reg. No: 001-2345678 | Phone: +880-2-9876543 | Email: procurement@greenhorizonbd.com</w:t>
      </w:r>
    </w:p>
    <w:bookmarkEnd w:id="20"/>
    <w:p>
      <w:pPr>
        <w:pStyle w:val="BodyText"/>
      </w:pPr>
      <w:r>
        <w:rPr>
          <w:bCs/>
          <w:b/>
        </w:rPr>
        <w:t xml:space="preserve">Purchase Order No.:</w:t>
      </w:r>
      <w:r>
        <w:t xml:space="preserve"> </w:t>
      </w:r>
      <w:r>
        <w:t xml:space="preserve">GHD/PO/2025/00347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GHD-PRJ-2025-012</w:t>
      </w:r>
    </w:p>
    <w:bookmarkStart w:id="21" w:name="vendor-architect-details"/>
    <w:p>
      <w:pPr>
        <w:pStyle w:val="Heading2"/>
      </w:pPr>
      <w:r>
        <w:t xml:space="preserve">1. Vendor / Architect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 Name</w:t>
            </w:r>
          </w:p>
        </w:tc>
        <w:tc>
          <w:tcPr/>
          <w:p>
            <w:pPr>
              <w:pStyle w:val="Compact"/>
              <w:jc w:val="left"/>
            </w:pPr>
            <w:r>
              <w:t xml:space="preserve">Studio Dhaka Architects &amp; Planners Ltd.</w:t>
            </w:r>
          </w:p>
        </w:tc>
      </w:tr>
      <w:tr>
        <w:tc>
          <w:tcPr/>
          <w:p>
            <w:pPr>
              <w:pStyle w:val="Compact"/>
              <w:jc w:val="left"/>
            </w:pPr>
            <w:r>
              <w:t xml:space="preserve">Principal Architect</w:t>
            </w:r>
          </w:p>
        </w:tc>
        <w:tc>
          <w:tcPr/>
          <w:p>
            <w:pPr>
              <w:pStyle w:val="Compact"/>
              <w:jc w:val="left"/>
            </w:pPr>
            <w:r>
              <w:t xml:space="preserve">Mr. Farhan Ahmed Khan, B.Arch (BUET), M.Arch (AAU London)</w:t>
            </w:r>
          </w:p>
        </w:tc>
      </w:tr>
      <w:tr>
        <w:tc>
          <w:tcPr/>
          <w:p>
            <w:pPr>
              <w:pStyle w:val="Compact"/>
              <w:jc w:val="left"/>
            </w:pPr>
            <w:r>
              <w:t xml:space="preserve">Registration No.</w:t>
            </w:r>
          </w:p>
        </w:tc>
        <w:tc>
          <w:tcPr/>
          <w:p>
            <w:pPr>
              <w:pStyle w:val="Compact"/>
              <w:jc w:val="left"/>
            </w:pPr>
            <w:r>
              <w:t xml:space="preserve">IBA Reg. No. BD-ARCH-2019-0452 (Institute of Bangladesh Architects)</w:t>
            </w:r>
          </w:p>
        </w:tc>
      </w:tr>
      <w:tr>
        <w:tc>
          <w:tcPr/>
          <w:p>
            <w:pPr>
              <w:pStyle w:val="Compact"/>
              <w:jc w:val="left"/>
            </w:pPr>
            <w:r>
              <w:t xml:space="preserve">Office Address</w:t>
            </w:r>
          </w:p>
        </w:tc>
        <w:tc>
          <w:tcPr/>
          <w:p>
            <w:pPr>
              <w:pStyle w:val="Compact"/>
              <w:jc w:val="left"/>
            </w:pPr>
            <w:r>
              <w:t xml:space="preserve">Level 7, Tower B, Gulshan Avenue, Gulshan-2, Dhaka-1212, Bangladesh</w:t>
            </w:r>
          </w:p>
        </w:tc>
      </w:tr>
      <w:tr>
        <w:tc>
          <w:tcPr/>
          <w:p>
            <w:pPr>
              <w:pStyle w:val="Compact"/>
              <w:jc w:val="left"/>
            </w:pPr>
            <w:r>
              <w:t xml:space="preserve">TIN / VAT</w:t>
            </w:r>
          </w:p>
        </w:tc>
        <w:tc>
          <w:tcPr/>
          <w:p>
            <w:pPr>
              <w:pStyle w:val="Compact"/>
              <w:jc w:val="left"/>
            </w:pPr>
            <w:r>
              <w:t xml:space="preserve">TIN: 007834521 | VAT: 002-8765432</w:t>
            </w:r>
          </w:p>
        </w:tc>
      </w:tr>
      <w:tr>
        <w:tc>
          <w:tcPr/>
          <w:p>
            <w:pPr>
              <w:pStyle w:val="Compact"/>
              <w:jc w:val="left"/>
            </w:pPr>
            <w:r>
              <w:t xml:space="preserve">Contact</w:t>
            </w:r>
          </w:p>
        </w:tc>
        <w:tc>
          <w:tcPr/>
          <w:p>
            <w:pPr>
              <w:pStyle w:val="Compact"/>
              <w:jc w:val="left"/>
            </w:pPr>
            <w:r>
              <w:t xml:space="preserve">Phone: +880-1711-234567 | Email: projects@studiodhakaarch.com</w:t>
            </w:r>
          </w:p>
        </w:tc>
      </w:tr>
    </w:tbl>
    <w:bookmarkEnd w:id="21"/>
    <w:bookmarkStart w:id="22" w:name="X10a2c2435b0d03c16d75d1f477249f9f87b113f"/>
    <w:p>
      <w:pPr>
        <w:pStyle w:val="Heading2"/>
      </w:pPr>
      <w:r>
        <w:t xml:space="preserve">2. Description of Architect Services Procured</w:t>
      </w:r>
    </w:p>
    <w:p>
      <w:pPr>
        <w:pStyle w:val="FirstParagraph"/>
      </w:pPr>
      <w:r>
        <w:t xml:space="preserve">This Purchase Order is issued by Green Horizon Development Ltd. (hereinafter referred to as the "Purchaser") to Studio Dhaka Architects &amp; Planners Ltd. (hereinafter referred to as the "Architect") for the provision of comprehensive architectural design, planning, and consultancy services for the</w:t>
      </w:r>
      <w:r>
        <w:t xml:space="preserve"> </w:t>
      </w:r>
      <w:r>
        <w:rPr>
          <w:bCs/>
          <w:b/>
        </w:rPr>
        <w:t xml:space="preserve">Green Horizon Residential &amp; Commercial Complex</w:t>
      </w:r>
      <w:r>
        <w:t xml:space="preserve">, a 14-storey mixed-use development to be constructed at Plot No. 28, Sector 7, Uttara, Dhaka, Bangladesh. The Architect shall deliver all services in accordance with the Bangladesh National Building Code (BNBC 2020), the Dhaka City Corporation (DCC) development regulations, and the guidelines issued by the Department of Architectural Services, Bangladesh.</w:t>
      </w:r>
    </w:p>
    <w:p>
      <w:pPr>
        <w:pStyle w:val="BodyText"/>
      </w:pPr>
      <w:r>
        <w:t xml:space="preserve">The scope of work under this Purchase Order encompasses the following phases of architectural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Service / Deliverable</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Site survey, feasibility study, and concept design for the 14-storey complex including residential units, ground-floor retail, and rooftop amenities</w:t>
            </w:r>
          </w:p>
        </w:tc>
        <w:tc>
          <w:tcPr/>
          <w:p>
            <w:pPr>
              <w:pStyle w:val="Compact"/>
              <w:jc w:val="left"/>
            </w:pPr>
            <w:r>
              <w:t xml:space="preserve">Phase I – Concept</w:t>
            </w:r>
          </w:p>
        </w:tc>
        <w:tc>
          <w:tcPr/>
          <w:p>
            <w:pPr>
              <w:pStyle w:val="Compact"/>
              <w:jc w:val="left"/>
            </w:pPr>
            <w:r>
              <w:t xml:space="preserve">6 weeks</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Schematic design development, massing studies, and preliminary structural coordination with the civil engineering team</w:t>
            </w:r>
          </w:p>
        </w:tc>
        <w:tc>
          <w:tcPr/>
          <w:p>
            <w:pPr>
              <w:pStyle w:val="Compact"/>
              <w:jc w:val="left"/>
            </w:pPr>
            <w:r>
              <w:t xml:space="preserve">Phase II – Schematic</w:t>
            </w:r>
          </w:p>
        </w:tc>
        <w:tc>
          <w:tcPr/>
          <w:p>
            <w:pPr>
              <w:pStyle w:val="Compact"/>
              <w:jc w:val="left"/>
            </w:pPr>
            <w:r>
              <w:t xml:space="preserve">8 weeks</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Detailed architectural drawings, 3D BIM modelling (Revit), interior design specifications, and material schedules</w:t>
            </w:r>
          </w:p>
        </w:tc>
        <w:tc>
          <w:tcPr/>
          <w:p>
            <w:pPr>
              <w:pStyle w:val="Compact"/>
              <w:jc w:val="left"/>
            </w:pPr>
            <w:r>
              <w:t xml:space="preserve">Phase III – Detailed Design</w:t>
            </w:r>
          </w:p>
        </w:tc>
        <w:tc>
          <w:tcPr/>
          <w:p>
            <w:pPr>
              <w:pStyle w:val="Compact"/>
              <w:jc w:val="left"/>
            </w:pPr>
            <w:r>
              <w:t xml:space="preserve">12 weeks</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Construction documentation, tender drawings, bill of quantities coordination, and DCC building permit submission support</w:t>
            </w:r>
          </w:p>
        </w:tc>
        <w:tc>
          <w:tcPr/>
          <w:p>
            <w:pPr>
              <w:pStyle w:val="Compact"/>
              <w:jc w:val="left"/>
            </w:pPr>
            <w:r>
              <w:t xml:space="preserve">Phase IV – Construction Docs</w:t>
            </w:r>
          </w:p>
        </w:tc>
        <w:tc>
          <w:tcPr/>
          <w:p>
            <w:pPr>
              <w:pStyle w:val="Compact"/>
              <w:jc w:val="left"/>
            </w:pPr>
            <w:r>
              <w:t xml:space="preserve">10 weeks</w:t>
            </w:r>
          </w:p>
        </w:tc>
        <w:tc>
          <w:tcPr/>
          <w:p>
            <w:pPr>
              <w:pStyle w:val="Compact"/>
              <w:jc w:val="left"/>
            </w:pPr>
            <w:r>
              <w:t xml:space="preserve">2,900,000</w:t>
            </w:r>
          </w:p>
        </w:tc>
      </w:tr>
      <w:tr>
        <w:tc>
          <w:tcPr/>
          <w:p>
            <w:pPr>
              <w:pStyle w:val="Compact"/>
              <w:jc w:val="left"/>
            </w:pPr>
            <w:r>
              <w:t xml:space="preserve">5</w:t>
            </w:r>
          </w:p>
        </w:tc>
        <w:tc>
          <w:tcPr/>
          <w:p>
            <w:pPr>
              <w:pStyle w:val="Compact"/>
              <w:jc w:val="left"/>
            </w:pPr>
            <w:r>
              <w:t xml:space="preserve">Site supervision, value engineering, design review meetings, and as-built documentation throughout the construction period</w:t>
            </w:r>
          </w:p>
        </w:tc>
        <w:tc>
          <w:tcPr/>
          <w:p>
            <w:pPr>
              <w:pStyle w:val="Compact"/>
              <w:jc w:val="left"/>
            </w:pPr>
            <w:r>
              <w:t xml:space="preserve">Phase V – Construction Support</w:t>
            </w:r>
          </w:p>
        </w:tc>
        <w:tc>
          <w:tcPr/>
          <w:p>
            <w:pPr>
              <w:pStyle w:val="Compact"/>
              <w:jc w:val="left"/>
            </w:pPr>
            <w:r>
              <w:t xml:space="preserve">24 months</w:t>
            </w:r>
          </w:p>
        </w:tc>
        <w:tc>
          <w:tcPr/>
          <w:p>
            <w:pPr>
              <w:pStyle w:val="Compact"/>
              <w:jc w:val="left"/>
            </w:pPr>
            <w:r>
              <w:t xml:space="preserve">4,200,000</w:t>
            </w:r>
          </w:p>
        </w:tc>
      </w:tr>
      <w:tr>
        <w:tc>
          <w:tcPr>
            <w:gridSpan w:val="4"/>
          </w:tcPr>
          <w:p>
            <w:pPr>
              <w:pStyle w:val="Compact"/>
              <w:jc w:val="left"/>
            </w:pPr>
            <w:r>
              <w:t xml:space="preserve">Subtotal</w:t>
            </w:r>
          </w:p>
        </w:tc>
        <w:tc>
          <w:tcPr/>
          <w:p>
            <w:pPr>
              <w:pStyle w:val="Compact"/>
              <w:jc w:val="left"/>
            </w:pPr>
            <w:r>
              <w:t xml:space="preserve">15,100,000</w:t>
            </w:r>
          </w:p>
        </w:tc>
      </w:tr>
      <w:tr>
        <w:tc>
          <w:tcPr>
            <w:gridSpan w:val="4"/>
          </w:tcPr>
          <w:p>
            <w:pPr>
              <w:pStyle w:val="Compact"/>
              <w:jc w:val="left"/>
            </w:pPr>
            <w:r>
              <w:t xml:space="preserve">VAT @ 15% (as per Bangladesh VAT Act 1991)</w:t>
            </w:r>
          </w:p>
        </w:tc>
        <w:tc>
          <w:tcPr/>
          <w:p>
            <w:pPr>
              <w:pStyle w:val="Compact"/>
              <w:jc w:val="left"/>
            </w:pPr>
            <w:r>
              <w:t xml:space="preserve">2,265,000</w:t>
            </w:r>
          </w:p>
        </w:tc>
      </w:tr>
      <w:tr>
        <w:tc>
          <w:tcPr>
            <w:gridSpan w:val="4"/>
          </w:tcPr>
          <w:p>
            <w:pPr>
              <w:pStyle w:val="Compact"/>
              <w:jc w:val="left"/>
            </w:pPr>
            <w:r>
              <w:rPr>
                <w:bCs/>
                <w:b/>
              </w:rPr>
              <w:t xml:space="preserve">Grand Total (BDT)</w:t>
            </w:r>
          </w:p>
        </w:tc>
        <w:tc>
          <w:tcPr/>
          <w:p>
            <w:pPr>
              <w:pStyle w:val="Compact"/>
              <w:jc w:val="left"/>
            </w:pPr>
            <w:r>
              <w:rPr>
                <w:bCs/>
                <w:b/>
              </w:rPr>
              <w:t xml:space="preserve">17,365,000</w:t>
            </w:r>
          </w:p>
        </w:tc>
      </w:tr>
    </w:tbl>
    <w:p>
      <w:pPr>
        <w:pStyle w:val="BodyText"/>
      </w:pPr>
      <w:r>
        <w:rPr>
          <w:iCs/>
          <w:i/>
        </w:rPr>
        <w:t xml:space="preserve">Amount in words: Seventeen Crore Thirty-Six Lakh Fifty Thousand Taka Only.</w:t>
      </w:r>
    </w:p>
    <w:bookmarkEnd w:id="22"/>
    <w:bookmarkStart w:id="23" w:name="payment-terms"/>
    <w:p>
      <w:pPr>
        <w:pStyle w:val="Heading2"/>
      </w:pPr>
      <w:r>
        <w:t xml:space="preserve">3. Payment Terms</w:t>
      </w:r>
    </w:p>
    <w:p>
      <w:pPr>
        <w:pStyle w:val="FirstParagraph"/>
      </w:pPr>
      <w:r>
        <w:t xml:space="preserve">Payment against this Purchase Order shall be made in milestone-based instalments as follows: 20% advance upon signing of the Purchase Order, 25% upon completion of Phase II, 25% upon completion of Phase III, 20% upon completion of Phase IV, and the remaining 10% upon final handover of as-built documents and completion of Phase V. All payments shall be processed via bank transfer to the Architect's designated account at Sonali Bank, Gulshan Branch, Dhaka, Bangladesh. The Purchaser reserves the right to withhold payment for any deliverable that does not meet the quality standards specified in the attached Scope of Work annexure.</w:t>
      </w:r>
    </w:p>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People's Republic of Bangladesh, including the Contract Act, 1872, and the Bangladesh National Building Code (BNBC 2020).</w:t>
      </w:r>
    </w:p>
    <w:p>
      <w:pPr>
        <w:numPr>
          <w:ilvl w:val="0"/>
          <w:numId w:val="1001"/>
        </w:numPr>
        <w:pStyle w:val="Compact"/>
      </w:pPr>
      <w:r>
        <w:t xml:space="preserve">The Architect warrants that all designs and drawings shall comply with the Dhaka City Corporation (DCC) zoning regulations, fire safety codes, and environmental clearance requirements issued by the Department of Environment, Bangladesh.</w:t>
      </w:r>
    </w:p>
    <w:p>
      <w:pPr>
        <w:numPr>
          <w:ilvl w:val="0"/>
          <w:numId w:val="1001"/>
        </w:numPr>
        <w:pStyle w:val="Compact"/>
      </w:pPr>
      <w:r>
        <w:t xml:space="preserve">The Architect shall maintain professional indemnity insurance with a minimum coverage of BDT 50,000,000 for the duration of the project and shall provide a certificate of insurance upon request.</w:t>
      </w:r>
    </w:p>
    <w:p>
      <w:pPr>
        <w:numPr>
          <w:ilvl w:val="0"/>
          <w:numId w:val="1001"/>
        </w:numPr>
        <w:pStyle w:val="Compact"/>
      </w:pPr>
      <w:r>
        <w:t xml:space="preserve">All intellectual property rights in the final architectural drawings, BIM models, and design documents shall vest in the Purchaser upon full and final payment under this Purchase Order.</w:t>
      </w:r>
    </w:p>
    <w:p>
      <w:pPr>
        <w:numPr>
          <w:ilvl w:val="0"/>
          <w:numId w:val="1001"/>
        </w:numPr>
        <w:pStyle w:val="Compact"/>
      </w:pPr>
      <w:r>
        <w:t xml:space="preserve">The Architect shall not subcontract any portion of the architectural services without prior written consent from the Purchaser. Any approved subcontractor shall be based in Bangladesh and registered with the Institute of Bangladesh Architects (IBA).</w:t>
      </w:r>
    </w:p>
    <w:p>
      <w:pPr>
        <w:numPr>
          <w:ilvl w:val="0"/>
          <w:numId w:val="1001"/>
        </w:numPr>
        <w:pStyle w:val="Compact"/>
      </w:pPr>
      <w:r>
        <w:t xml:space="preserve">Disputes arising from this Purchase Order shall be resolved through arbitration in Dhaka, Bangladesh, in accordance with the Arbitration Act, 2001 of Bangladesh. The seat of arbitration shall be Dhaka, and the language of arbitration shall be English.</w:t>
      </w:r>
    </w:p>
    <w:p>
      <w:pPr>
        <w:numPr>
          <w:ilvl w:val="0"/>
          <w:numId w:val="1001"/>
        </w:numPr>
        <w:pStyle w:val="Compact"/>
      </w:pPr>
      <w:r>
        <w:t xml:space="preserve">The Architect shall submit progress reports to the Purchaser on a bi-weekly basis and attend all project coordination meetings scheduled by the Purchaser's project management team in Dhaka.</w:t>
      </w:r>
    </w:p>
    <w:p>
      <w:pPr>
        <w:numPr>
          <w:ilvl w:val="0"/>
          <w:numId w:val="1001"/>
        </w:numPr>
        <w:pStyle w:val="Compact"/>
      </w:pPr>
      <w:r>
        <w:t xml:space="preserve">Force majeure events, including but not limited to natural disasters, government-imposed lockdowns, or civil unrest in Bangladesh, shall extend the project timeline proportionally without penalty to either party.</w:t>
      </w:r>
    </w:p>
    <w:p>
      <w:pPr>
        <w:numPr>
          <w:ilvl w:val="0"/>
          <w:numId w:val="1001"/>
        </w:numPr>
        <w:pStyle w:val="Compact"/>
      </w:pPr>
      <w:r>
        <w:t xml:space="preserve">This Purchase Order becomes effective upon signature by both parties and remains valid until the completion of all deliverables and the expiry of the 12-month defect liability period.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specifications outlined in this Purchase Order. The Architect confirms availability to commence Phase I work within seven (7) calendar days of the Purchase Order issue date.</w:t>
      </w:r>
    </w:p>
    <w:bookmarkEnd w:id="25"/>
    <w:p>
      <w:pPr>
        <w:pStyle w:val="BodyText"/>
      </w:pPr>
      <w:r>
        <w:rPr>
          <w:bCs/>
          <w:b/>
        </w:rPr>
        <w:t xml:space="preserve">For and on behalf of Green Horizon Development Ltd. (Purchaser)</w:t>
      </w:r>
      <w:r>
        <w:br/>
      </w:r>
      <w:r>
        <w:t xml:space="preserve">Name: Md. Rakibul Hasan</w:t>
      </w:r>
      <w:r>
        <w:br/>
      </w:r>
      <w:r>
        <w:t xml:space="preserve">Designation: Chief Procurement Officer</w:t>
      </w:r>
      <w:r>
        <w:br/>
      </w:r>
      <w:r>
        <w:t xml:space="preserve">Date: _______________</w:t>
      </w:r>
    </w:p>
    <w:p>
      <w:pPr>
        <w:pStyle w:val="BodyText"/>
      </w:pPr>
      <w:r>
        <w:rPr>
          <w:bCs/>
          <w:b/>
        </w:rPr>
        <w:t xml:space="preserve">For and on behalf of Studio Dhaka Architects &amp; Planners Ltd. (Architect)</w:t>
      </w:r>
      <w:r>
        <w:br/>
      </w:r>
      <w:r>
        <w:t xml:space="preserve">Name: Farhan Ahmed Khan</w:t>
      </w:r>
      <w:r>
        <w:br/>
      </w:r>
      <w:r>
        <w:t xml:space="preserve">Designation: Principal Architect</w:t>
      </w:r>
      <w:r>
        <w:br/>
      </w:r>
      <w:r>
        <w:t xml:space="preserve">Date: _______________</w:t>
      </w:r>
    </w:p>
    <w:p>
      <w:pPr>
        <w:pStyle w:val="BodyText"/>
      </w:pPr>
      <w:r>
        <w:t xml:space="preserve">This Purchase Order (GHD/PO/2025/00347) is issued in two (2) original copies, one for each party. This document is valid only for the project located in Bangladesh Dhaka and the specific Architect named herein. Unauthorized reproduction or modification of this Purchase Order is strictly prohibited.</w:t>
      </w:r>
    </w:p>
    <w:p>
      <w:pPr>
        <w:pStyle w:val="BodyText"/>
      </w:pPr>
      <w:r>
        <w:t xml:space="preserve">Green Horizon Development Ltd. | Banani, Dhaka-1213, Bangladesh | www.greenhorizonbd.com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Bangladesh Dhaka</dc:title>
  <dc:creator/>
  <dc:language>en</dc:language>
  <cp:keywords/>
  <dcterms:created xsi:type="dcterms:W3CDTF">2026-10-10T03:42:21Z</dcterms:created>
  <dcterms:modified xsi:type="dcterms:W3CDTF">2026-10-10T03:42:21Z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