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purchase-order"/>
    <w:p>
      <w:pPr>
        <w:pStyle w:val="Heading1"/>
      </w:pPr>
      <w:r>
        <w:t xml:space="preserve">PURCHASE ORDER</w:t>
      </w:r>
    </w:p>
    <w:p>
      <w:pPr>
        <w:pStyle w:val="FirstParagraph"/>
      </w:pPr>
      <w:r>
        <w:t xml:space="preserve">Architectural Design and Consulting Services — Federal District, Brasília, Brazil</w:t>
      </w:r>
    </w:p>
    <w:bookmarkEnd w:id="20"/>
    <w:p>
      <w:pPr>
        <w:pStyle w:val="BodyText"/>
      </w:pPr>
      <w:r>
        <w:t xml:space="preserve">Purchase Order No.: PO-BSB-2025-04782</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Registration (CNPJ/CPF)</w:t>
            </w:r>
          </w:p>
        </w:tc>
      </w:tr>
      <w:tr>
        <w:tc>
          <w:tcPr/>
          <w:p>
            <w:pPr>
              <w:pStyle w:val="Compact"/>
              <w:jc w:val="left"/>
            </w:pPr>
            <w:r>
              <w:rPr>
                <w:bCs/>
                <w:b/>
              </w:rPr>
              <w:t xml:space="preserve">Purchaser (Buyer)</w:t>
            </w:r>
          </w:p>
        </w:tc>
        <w:tc>
          <w:tcPr/>
          <w:p>
            <w:pPr>
              <w:pStyle w:val="Compact"/>
              <w:jc w:val="left"/>
            </w:pPr>
            <w:r>
              <w:t xml:space="preserve">Construtora Horizonte do Cerrado Ltda.</w:t>
            </w:r>
          </w:p>
        </w:tc>
        <w:tc>
          <w:tcPr/>
          <w:p>
            <w:pPr>
              <w:pStyle w:val="Compact"/>
              <w:jc w:val="left"/>
            </w:pPr>
            <w:r>
              <w:t xml:space="preserve">Quadra 308 Sul, Bloco A, Lote 12, Edifício Corporativo, Sala 704, Asa Sul, Brasília – DF, CEP 70297-430, Brazil</w:t>
            </w:r>
          </w:p>
        </w:tc>
        <w:tc>
          <w:tcPr/>
          <w:p>
            <w:pPr>
              <w:pStyle w:val="Compact"/>
              <w:jc w:val="left"/>
            </w:pPr>
            <w:r>
              <w:t xml:space="preserve">CNPJ: 12.345.678/0001-90</w:t>
            </w:r>
          </w:p>
        </w:tc>
      </w:tr>
      <w:tr>
        <w:tc>
          <w:tcPr/>
          <w:p>
            <w:pPr>
              <w:pStyle w:val="Compact"/>
              <w:jc w:val="left"/>
            </w:pPr>
            <w:r>
              <w:rPr>
                <w:bCs/>
                <w:b/>
              </w:rPr>
              <w:t xml:space="preserve">Supplier (Architect)</w:t>
            </w:r>
          </w:p>
        </w:tc>
        <w:tc>
          <w:tcPr/>
          <w:p>
            <w:pPr>
              <w:pStyle w:val="Compact"/>
              <w:jc w:val="left"/>
            </w:pPr>
            <w:r>
              <w:t xml:space="preserve">Estúdio Arquitetura Lúcio Costa &amp; Associados</w:t>
            </w:r>
          </w:p>
        </w:tc>
        <w:tc>
          <w:tcPr/>
          <w:p>
            <w:pPr>
              <w:pStyle w:val="Compact"/>
              <w:jc w:val="left"/>
            </w:pPr>
            <w:r>
              <w:t xml:space="preserve">Quadra 204 Norte, Bloco C, Lote 05, Asa Norte, Brasília – DF, CEP 70040-020, Brazil</w:t>
            </w:r>
          </w:p>
        </w:tc>
        <w:tc>
          <w:tcPr/>
          <w:p>
            <w:pPr>
              <w:pStyle w:val="Compact"/>
              <w:jc w:val="left"/>
            </w:pPr>
            <w:r>
              <w:t xml:space="preserve">CNPJ: 98.765.432/0001-15</w:t>
            </w:r>
          </w:p>
        </w:tc>
      </w:tr>
    </w:tbl>
    <w:bookmarkEnd w:id="21"/>
    <w:bookmarkStart w:id="22" w:name="Xfdbdcf55338e817ddfe8397e04b935af0985879"/>
    <w:p>
      <w:pPr>
        <w:pStyle w:val="Heading2"/>
      </w:pPr>
      <w:r>
        <w:t xml:space="preserve">2. Description of Architectural Services Procured</w:t>
      </w:r>
    </w:p>
    <w:p>
      <w:pPr>
        <w:pStyle w:val="FirstParagraph"/>
      </w:pPr>
      <w:r>
        <w:t xml:space="preserve">This Purchase Order is issued by Construtora Horizonte do Cerrado Ltda. (hereinafter referred to as the</w:t>
      </w:r>
      <w:r>
        <w:t xml:space="preserve"> </w:t>
      </w:r>
      <w:r>
        <w:t xml:space="preserve">Purchaser</w:t>
      </w:r>
      <w:r>
        <w:t xml:space="preserve">) to formally engage the professional services of Estúdio Arquitetura Lúcio Costa &amp; Associados (hereinafter referred to as the</w:t>
      </w:r>
      <w:r>
        <w:t xml:space="preserve"> </w:t>
      </w:r>
      <w:r>
        <w:t xml:space="preserve">Architect</w:t>
      </w:r>
      <w:r>
        <w:t xml:space="preserve">) for the complete architectural design, planning, and technical consulting of a mixed-use residential and commercial development project located in the Plano Piloto district of</w:t>
      </w:r>
      <w:r>
        <w:t xml:space="preserve"> </w:t>
      </w:r>
      <w:r>
        <w:t xml:space="preserve">Brasília, Brazil</w:t>
      </w:r>
      <w:r>
        <w:t xml:space="preserve">. The Architect shall be responsible for all phases of architectural development, from initial concept design through to final construction documentation, in full compliance with the urban planning regulations of the Federal District (Distrito Federal) and the specific zoning ordinances governing the Asa Sul and Asa Norte sectors of Brasília.</w:t>
      </w:r>
    </w:p>
    <w:p>
      <w:pPr>
        <w:pStyle w:val="BodyText"/>
      </w:pPr>
      <w:r>
        <w:t xml:space="preserve">The Architect's scope of work includes, but is not limited to: preliminary site analysis of the designated parcel in the Plano Piloto; development of conceptual architectural drawings and 3D renderings; preparation of detailed construction drawings (plans, elevations, sections, and details); landscape architecture integration consistent with Brasília's iconic urban design principles established by Oscar Niemeyer and Lúcio Costa; structural coordination with engineering consultants; environmental impact assessment coordination as required by IBAMA and the Instituto do Meio Ambiente e dos Recursos Hídricos do Distrito Federal (Ibram); and full compliance review with the Código de Obras e Edificações do Distrito Federal.</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Preliminary Architectural Concept Design (including 3 site plan options and 2D/3D visualizations) for the Brasília development parcel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Detailed Architectural Construction Drawings (residential units, commercial podium, common areas, and parking structures)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Landscape Architecture and Urban Integration Plan (aligned with Brasília's Eixo Monumental and Setor de Áreas Verdes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Regulatory Submittal and Permitting Support (Coordenadoria de Licenciamento e Controle Urbano – CLCU, Brasília – DF)</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Construction Phase Architectural Supervision and Site Visits (estimated 18 months of active construction in Brasília)</w:t>
            </w:r>
          </w:p>
        </w:tc>
        <w:tc>
          <w:tcPr/>
          <w:p>
            <w:pPr>
              <w:pStyle w:val="Compact"/>
              <w:jc w:val="left"/>
            </w:pPr>
            <w:r>
              <w:t xml:space="preserve">18</w:t>
            </w:r>
          </w:p>
        </w:tc>
        <w:tc>
          <w:tcPr/>
          <w:p>
            <w:pPr>
              <w:pStyle w:val="Compact"/>
              <w:jc w:val="left"/>
            </w:pPr>
            <w:r>
              <w:t xml:space="preserve">Month</w:t>
            </w:r>
          </w:p>
        </w:tc>
        <w:tc>
          <w:tcPr/>
          <w:p>
            <w:pPr>
              <w:pStyle w:val="Compact"/>
              <w:jc w:val="left"/>
            </w:pPr>
            <w:r>
              <w:t xml:space="preserve">28,000.00</w:t>
            </w:r>
          </w:p>
        </w:tc>
        <w:tc>
          <w:tcPr/>
          <w:p>
            <w:pPr>
              <w:pStyle w:val="Compact"/>
              <w:jc w:val="left"/>
            </w:pPr>
            <w:r>
              <w:t xml:space="preserve">504,000.00</w:t>
            </w:r>
          </w:p>
        </w:tc>
      </w:tr>
      <w:tr>
        <w:tc>
          <w:tcPr/>
          <w:p>
            <w:pPr>
              <w:pStyle w:val="Compact"/>
              <w:jc w:val="left"/>
            </w:pPr>
            <w:r>
              <w:t xml:space="preserve">06</w:t>
            </w:r>
          </w:p>
        </w:tc>
        <w:tc>
          <w:tcPr/>
          <w:p>
            <w:pPr>
              <w:pStyle w:val="Compact"/>
              <w:jc w:val="left"/>
            </w:pPr>
            <w:r>
              <w:t xml:space="preserve">As-Built Documentation and Final Architectural Certification (ART registration with CREA-DF)</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TOTAL CONTRACT VALUE (BRL)</w:t>
            </w:r>
          </w:p>
        </w:tc>
        <w:tc>
          <w:tcPr/>
          <w:p>
            <w:pPr>
              <w:pStyle w:val="Compact"/>
              <w:jc w:val="left"/>
            </w:pPr>
            <w:r>
              <w:t xml:space="preserve">971,000.00</w:t>
            </w:r>
          </w:p>
        </w:tc>
      </w:tr>
    </w:tbl>
    <w:bookmarkEnd w:id="23"/>
    <w:bookmarkStart w:id="24" w:name="payment-terms-and-schedule"/>
    <w:p>
      <w:pPr>
        <w:pStyle w:val="Heading2"/>
      </w:pPr>
      <w:r>
        <w:t xml:space="preserve">4. Payment Terms and Schedule</w:t>
      </w:r>
    </w:p>
    <w:p>
      <w:pPr>
        <w:pStyle w:val="FirstParagraph"/>
      </w:pPr>
      <w:r>
        <w:t xml:space="preserve">All payments under this Purchase Order shall be made in Brazilian Reais (BRL) via bank transfer (TED/DOC) to the Architect's designated account at Banco do Brasil, Ag. 1234-5, Conta Corrente 67890-1, Brasília – DF. The payment schedule is structured as follows:</w:t>
      </w:r>
    </w:p>
    <w:p>
      <w:pPr>
        <w:numPr>
          <w:ilvl w:val="0"/>
          <w:numId w:val="1001"/>
        </w:numPr>
        <w:pStyle w:val="Compact"/>
      </w:pPr>
      <w:r>
        <w:rPr>
          <w:bCs/>
          <w:b/>
        </w:rPr>
        <w:t xml:space="preserve">20% (BRL 194,200.00)</w:t>
      </w:r>
      <w:r>
        <w:t xml:space="preserve"> </w:t>
      </w:r>
      <w:r>
        <w:t xml:space="preserve">— Due upon execution of this Purchase Order and commencement of the preliminary design phase.</w:t>
      </w:r>
    </w:p>
    <w:p>
      <w:pPr>
        <w:numPr>
          <w:ilvl w:val="0"/>
          <w:numId w:val="1001"/>
        </w:numPr>
        <w:pStyle w:val="Compact"/>
      </w:pPr>
      <w:r>
        <w:rPr>
          <w:bCs/>
          <w:b/>
        </w:rPr>
        <w:t xml:space="preserve">25% (BRL 242,750.00)</w:t>
      </w:r>
      <w:r>
        <w:t xml:space="preserve"> </w:t>
      </w:r>
      <w:r>
        <w:t xml:space="preserve">— Due upon delivery and approval of the detailed architectural construction drawings.</w:t>
      </w:r>
    </w:p>
    <w:p>
      <w:pPr>
        <w:numPr>
          <w:ilvl w:val="0"/>
          <w:numId w:val="1001"/>
        </w:numPr>
        <w:pStyle w:val="Compact"/>
      </w:pPr>
      <w:r>
        <w:rPr>
          <w:bCs/>
          <w:b/>
        </w:rPr>
        <w:t xml:space="preserve">40% (BRL 388,400.00)</w:t>
      </w:r>
      <w:r>
        <w:t xml:space="preserve"> </w:t>
      </w:r>
      <w:r>
        <w:t xml:space="preserve">— Payable in equal monthly installments (BRL 21,577.78 per month) during the 18-month construction supervision period in Brasília.</w:t>
      </w:r>
    </w:p>
    <w:p>
      <w:pPr>
        <w:numPr>
          <w:ilvl w:val="0"/>
          <w:numId w:val="1001"/>
        </w:numPr>
        <w:pStyle w:val="Compact"/>
      </w:pPr>
      <w:r>
        <w:rPr>
          <w:bCs/>
          <w:b/>
        </w:rPr>
        <w:t xml:space="preserve">15% (BRL 145,650.00)</w:t>
      </w:r>
      <w:r>
        <w:t xml:space="preserve"> </w:t>
      </w:r>
      <w:r>
        <w:t xml:space="preserve">— Due upon delivery of the As-Built documentation, final ART registration with CREA-DF, and completion of all regulatory filings with the District Government of Brasília.</w:t>
      </w:r>
    </w:p>
    <w:p>
      <w:pPr>
        <w:pStyle w:val="FirstParagraph"/>
      </w:pPr>
      <w:r>
        <w:t xml:space="preserve">Payment terms are Net 30 days from the date of invoice issuance. Late payments shall accrue interest at the rate of 1% per month plus the SELIC index, in accordance with Brazilian commercial law (Código Civil, Art. 406).</w:t>
      </w:r>
    </w:p>
    <w:bookmarkEnd w:id="24"/>
    <w:bookmarkStart w:id="25" w:name="project-timeline-and-milestones"/>
    <w:p>
      <w:pPr>
        <w:pStyle w:val="Heading2"/>
      </w:pPr>
      <w:r>
        <w:t xml:space="preserve">5.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 / Reference</w:t>
            </w:r>
          </w:p>
        </w:tc>
      </w:tr>
      <w:tr>
        <w:tc>
          <w:tcPr/>
          <w:p>
            <w:pPr>
              <w:pStyle w:val="Compact"/>
              <w:jc w:val="left"/>
            </w:pPr>
            <w:r>
              <w:t xml:space="preserve">Commencement of Preliminary Design</w:t>
            </w:r>
          </w:p>
        </w:tc>
        <w:tc>
          <w:tcPr/>
          <w:p>
            <w:pPr>
              <w:pStyle w:val="Compact"/>
              <w:jc w:val="left"/>
            </w:pPr>
            <w:r>
              <w:t xml:space="preserve">15 June 2025</w:t>
            </w:r>
          </w:p>
        </w:tc>
        <w:tc>
          <w:tcPr/>
          <w:p>
            <w:pPr>
              <w:pStyle w:val="Compact"/>
              <w:jc w:val="left"/>
            </w:pPr>
            <w:r>
              <w:t xml:space="preserve">Architect's Studio, Asa Norte, Brasília – DF</w:t>
            </w:r>
          </w:p>
        </w:tc>
      </w:tr>
      <w:tr>
        <w:tc>
          <w:tcPr/>
          <w:p>
            <w:pPr>
              <w:pStyle w:val="Compact"/>
              <w:jc w:val="left"/>
            </w:pPr>
            <w:r>
              <w:t xml:space="preserve">Delivery of Concept Design Package</w:t>
            </w:r>
          </w:p>
        </w:tc>
        <w:tc>
          <w:tcPr/>
          <w:p>
            <w:pPr>
              <w:pStyle w:val="Compact"/>
              <w:jc w:val="left"/>
            </w:pPr>
            <w:r>
              <w:t xml:space="preserve">30 August 2025</w:t>
            </w:r>
          </w:p>
        </w:tc>
        <w:tc>
          <w:tcPr/>
          <w:p>
            <w:pPr>
              <w:pStyle w:val="Compact"/>
              <w:jc w:val="left"/>
            </w:pPr>
            <w:r>
              <w:t xml:space="preserve">—</w:t>
            </w:r>
          </w:p>
        </w:tc>
      </w:tr>
      <w:tr>
        <w:tc>
          <w:tcPr/>
          <w:p>
            <w:pPr>
              <w:pStyle w:val="Compact"/>
              <w:jc w:val="left"/>
            </w:pPr>
            <w:r>
              <w:t xml:space="preserve">Submission to CLCU for Urban Licensing</w:t>
            </w:r>
          </w:p>
        </w:tc>
        <w:tc>
          <w:tcPr/>
          <w:p>
            <w:pPr>
              <w:pStyle w:val="Compact"/>
              <w:jc w:val="left"/>
            </w:pPr>
            <w:r>
              <w:t xml:space="preserve">15 October 2025</w:t>
            </w:r>
          </w:p>
        </w:tc>
        <w:tc>
          <w:tcPr/>
          <w:p>
            <w:pPr>
              <w:pStyle w:val="Compact"/>
              <w:jc w:val="left"/>
            </w:pPr>
            <w:r>
              <w:t xml:space="preserve">Palácio do Buriti, Brasília – DF</w:t>
            </w:r>
          </w:p>
        </w:tc>
      </w:tr>
      <w:tr>
        <w:tc>
          <w:tcPr/>
          <w:p>
            <w:pPr>
              <w:pStyle w:val="Compact"/>
              <w:jc w:val="left"/>
            </w:pPr>
            <w:r>
              <w:t xml:space="preserve">Approval of Construction Drawings</w:t>
            </w:r>
          </w:p>
        </w:tc>
        <w:tc>
          <w:tcPr/>
          <w:p>
            <w:pPr>
              <w:pStyle w:val="Compact"/>
              <w:jc w:val="left"/>
            </w:pPr>
            <w:r>
              <w:t xml:space="preserve">30 November 2025</w:t>
            </w:r>
          </w:p>
        </w:tc>
        <w:tc>
          <w:tcPr/>
          <w:p>
            <w:pPr>
              <w:pStyle w:val="Compact"/>
              <w:jc w:val="left"/>
            </w:pPr>
            <w:r>
              <w:t xml:space="preserve">—</w:t>
            </w:r>
          </w:p>
        </w:tc>
      </w:tr>
      <w:tr>
        <w:tc>
          <w:tcPr/>
          <w:p>
            <w:pPr>
              <w:pStyle w:val="Compact"/>
              <w:jc w:val="left"/>
            </w:pPr>
            <w:r>
              <w:t xml:space="preserve">Construction Phase Commencement</w:t>
            </w:r>
          </w:p>
        </w:tc>
        <w:tc>
          <w:tcPr/>
          <w:p>
            <w:pPr>
              <w:pStyle w:val="Compact"/>
              <w:jc w:val="left"/>
            </w:pPr>
            <w:r>
              <w:t xml:space="preserve">01 February 2026</w:t>
            </w:r>
          </w:p>
        </w:tc>
        <w:tc>
          <w:tcPr/>
          <w:p>
            <w:pPr>
              <w:pStyle w:val="Compact"/>
              <w:jc w:val="left"/>
            </w:pPr>
            <w:r>
              <w:t xml:space="preserve">Project Site, Plano Piloto, Brasília – DF</w:t>
            </w:r>
          </w:p>
        </w:tc>
      </w:tr>
      <w:tr>
        <w:tc>
          <w:tcPr/>
          <w:p>
            <w:pPr>
              <w:pStyle w:val="Compact"/>
              <w:jc w:val="left"/>
            </w:pPr>
            <w:r>
              <w:t xml:space="preserve">Construction Phase Completion</w:t>
            </w:r>
          </w:p>
        </w:tc>
        <w:tc>
          <w:tcPr/>
          <w:p>
            <w:pPr>
              <w:pStyle w:val="Compact"/>
              <w:jc w:val="left"/>
            </w:pPr>
            <w:r>
              <w:t xml:space="preserve">31 July 2027</w:t>
            </w:r>
          </w:p>
        </w:tc>
        <w:tc>
          <w:tcPr/>
          <w:p>
            <w:pPr>
              <w:pStyle w:val="Compact"/>
              <w:jc w:val="left"/>
            </w:pPr>
            <w:r>
              <w:t xml:space="preserve">Project Site, Plano Piloto, Brasília – DF</w:t>
            </w:r>
          </w:p>
        </w:tc>
      </w:tr>
      <w:tr>
        <w:tc>
          <w:tcPr/>
          <w:p>
            <w:pPr>
              <w:pStyle w:val="Compact"/>
              <w:jc w:val="left"/>
            </w:pPr>
            <w:r>
              <w:t xml:space="preserve">Final As-Built Delivery and ART Registration</w:t>
            </w:r>
          </w:p>
        </w:tc>
        <w:tc>
          <w:tcPr/>
          <w:p>
            <w:pPr>
              <w:pStyle w:val="Compact"/>
              <w:jc w:val="left"/>
            </w:pPr>
            <w:r>
              <w:t xml:space="preserve">30 September 2027</w:t>
            </w:r>
          </w:p>
        </w:tc>
        <w:tc>
          <w:tcPr/>
          <w:p>
            <w:pPr>
              <w:pStyle w:val="Compact"/>
              <w:jc w:val="left"/>
            </w:pPr>
            <w:r>
              <w:t xml:space="preserve">CREA-DF, Brasília – DF</w:t>
            </w:r>
          </w:p>
        </w:tc>
      </w:tr>
    </w:tbl>
    <w:bookmarkEnd w:id="25"/>
    <w:bookmarkStart w:id="26" w:name="terms-conditions-and-compliance"/>
    <w:p>
      <w:pPr>
        <w:pStyle w:val="Heading2"/>
      </w:pPr>
      <w:r>
        <w:t xml:space="preserve">6. Terms, Conditions, and Compliance</w:t>
      </w:r>
    </w:p>
    <w:p>
      <w:pPr>
        <w:pStyle w:val="FirstParagraph"/>
      </w:pPr>
      <w:r>
        <w:t xml:space="preserve">This Purchase Order is governed by the laws of the Federative Republic of Brazil, with specific reference to the urban planning and construction regulations of the Federal District (Distrito Federal), Brasília. The Architect warrants that all deliverables shall comply with the Lei de Zoneamento do Plano Piloto, the NBR standards issued by ABNT, and all applicable municipal and federal building codes in Brasília.</w:t>
      </w:r>
    </w:p>
    <w:p>
      <w:pPr>
        <w:pStyle w:val="BodyText"/>
      </w:pPr>
      <w:r>
        <w:t xml:space="preserve">The Architect shall maintain valid professional registration with the Conselho de Arquitetura e Urbanismo do Distrito Federal (CAU-DF) and the Conselho Regional de Engenharia e Agronomia do Distrito Federal (CREA-DF) throughout the entire duration of this Purchase Order. The Architect shall also maintain professional liability insurance with a minimum coverage of BRL 2,000,000.00, valid in the jurisdiction of Brasília, Brazil.</w:t>
      </w:r>
    </w:p>
    <w:p>
      <w:pPr>
        <w:pStyle w:val="BodyText"/>
      </w:pPr>
      <w:r>
        <w:t xml:space="preserve">Any modifications to the scope of architectural services defined herein must be documented through a formal Change Order, signed by both the Purchaser and the Architect, prior to the execution of additional work. The Architect shall not subcontract any portion of the architectural design work without the prior written consent of the Purchaser.</w:t>
      </w:r>
    </w:p>
    <w:p>
      <w:pPr>
        <w:pStyle w:val="BodyText"/>
      </w:pPr>
      <w:r>
        <w:t xml:space="preserve">Disputes arising from this Purchase Order shall be resolved through arbitration in Brasília, DF, in accordance with the rules of the Câmara de Mediação e Arbitragem do Distrito Federal, or, failing agreement, through the competent courts of Brasília, Brazil.</w:t>
      </w:r>
    </w:p>
    <w:bookmarkEnd w:id="26"/>
    <w:bookmarkStart w:id="27" w:name="special-notes-for-brasília-brazil"/>
    <w:p>
      <w:pPr>
        <w:pStyle w:val="Heading2"/>
      </w:pPr>
      <w:r>
        <w:t xml:space="preserve">7. Special Notes for Brasília, Brazil</w:t>
      </w:r>
    </w:p>
    <w:p>
      <w:pPr>
        <w:pStyle w:val="FirstParagraph"/>
      </w:pPr>
      <w:r>
        <w:rPr>
          <w:bCs/>
          <w:b/>
        </w:rPr>
        <w:t xml:space="preserve">Important:</w:t>
      </w:r>
      <w:r>
        <w:t xml:space="preserve"> </w:t>
      </w:r>
      <w:r>
        <w:t xml:space="preserve">All architectural deliverables must account for Brasília's unique urban morphology, including the Setor de Áreas Verdes (SAV) requirements, the mandatory green area ratio of 40% of the total lot area, and the specific height and setback restrictions applicable to the designated sector within the Plano Piloto. The Architect shall coordinate with the Instituto do Patrimônio Histórico e Artístico Nacional (IPHAN) if any portion of the project falls within a heritage-protected zone of Brasília, as designated by UNESCO World Heritage listing.</w:t>
      </w:r>
    </w:p>
    <w:bookmarkEnd w:id="27"/>
    <w:bookmarkStart w:id="28" w:name="authorization-and-signatures"/>
    <w:p>
      <w:pPr>
        <w:pStyle w:val="Heading2"/>
      </w:pPr>
      <w:r>
        <w:t xml:space="preserve">8. Authorization and Signatures</w:t>
      </w:r>
    </w:p>
    <w:p>
      <w:pPr>
        <w:pStyle w:val="FirstParagraph"/>
      </w:pPr>
      <w:r>
        <w:t xml:space="preserve">This Purchase Order is effective upon signature by both parties. It constitutes a binding agreement for the procurement of architectural services in Brasília, Brazil, and supersedes all prior negotiations, correspondence, and understandings between the Purchaser and the Architect regarding the subject matter herein.</w:t>
      </w:r>
    </w:p>
    <w:bookmarkEnd w:id="28"/>
    <w:p>
      <w:pPr>
        <w:pStyle w:val="BodyText"/>
      </w:pPr>
      <w:r>
        <w:rPr>
          <w:bCs/>
          <w:b/>
        </w:rPr>
        <w:t xml:space="preserve">For the Purchaser:</w:t>
      </w:r>
      <w:r>
        <w:br/>
      </w:r>
      <w:r>
        <w:t xml:space="preserve">Construtora Horizonte do Cerrado Ltda.</w:t>
      </w:r>
      <w:r>
        <w:br/>
      </w:r>
      <w:r>
        <w:t xml:space="preserve">Name: ___________________________</w:t>
      </w:r>
      <w:r>
        <w:br/>
      </w:r>
      <w:r>
        <w:t xml:space="preserve">Title: Diretor Presidente</w:t>
      </w:r>
      <w:r>
        <w:br/>
      </w:r>
      <w:r>
        <w:t xml:space="preserve">Date: ____ / ____ / 2025</w:t>
      </w:r>
    </w:p>
    <w:p>
      <w:pPr>
        <w:pStyle w:val="BodyText"/>
      </w:pPr>
      <w:r>
        <w:rPr>
          <w:bCs/>
          <w:b/>
        </w:rPr>
        <w:t xml:space="preserve">For the Architect (Supplier):</w:t>
      </w:r>
      <w:r>
        <w:br/>
      </w:r>
      <w:r>
        <w:t xml:space="preserve">Estúdio Arquitetura Lúcio Costa &amp; Associados</w:t>
      </w:r>
      <w:r>
        <w:br/>
      </w:r>
      <w:r>
        <w:t xml:space="preserve">Name: ___________________________</w:t>
      </w:r>
      <w:r>
        <w:br/>
      </w:r>
      <w:r>
        <w:t xml:space="preserve">Title: Arquiteto Responsável (CAU-DF)</w:t>
      </w:r>
      <w:r>
        <w:br/>
      </w:r>
      <w:r>
        <w:t xml:space="preserve">Date: ____ / ____ / 2025</w:t>
      </w:r>
    </w:p>
    <w:p>
      <w:pPr>
        <w:pStyle w:val="BodyText"/>
      </w:pPr>
      <w:r>
        <w:t xml:space="preserve">Purchase Order No. PO-BSB-2025-04782 | Issued in Brasília, Distrito Federal, Brazil | Page 1 of 1</w:t>
      </w:r>
    </w:p>
    <w:p>
      <w:pPr>
        <w:pStyle w:val="BodyText"/>
      </w:pPr>
      <w:r>
        <w:t xml:space="preserve">This document is valid only when signed by both parties. Unauthorized reproduction or distribution is prohibited under Brazilian intellectual property law (Lei 9.610/1998).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Brasília, Brazil</dc:title>
  <dc:creator/>
  <dc:language>en</dc:language>
  <cp:keywords/>
  <dcterms:created xsi:type="dcterms:W3CDTF">2026-10-10T01:20:26Z</dcterms:created>
  <dcterms:modified xsi:type="dcterms:W3CDTF">2026-10-10T01:20:26Z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