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t xml:space="preserve">Architectural Design &amp; Consulting Services</w:t>
      </w:r>
    </w:p>
    <w:p>
      <w:pPr>
        <w:pStyle w:val="BodyText"/>
      </w:pPr>
      <w:r>
        <w:t xml:space="preserve">Rio de Janeiro, State of Rio de Janeiro, Brazil</w:t>
      </w:r>
    </w:p>
    <w:p>
      <w:pPr>
        <w:pStyle w:val="BodyText"/>
      </w:pPr>
      <w:r>
        <w:t xml:space="preserve">PO-2025-RJ-04872</w:t>
      </w:r>
    </w:p>
    <w:bookmarkEnd w:id="20"/>
    <w:bookmarkStart w:id="21" w:name="purchasing-entity-client"/>
    <w:p>
      <w:pPr>
        <w:pStyle w:val="Heading3"/>
      </w:pPr>
      <w:r>
        <w:t xml:space="preserve">Purchasing Entity (Client)</w:t>
      </w:r>
    </w:p>
    <w:p>
      <w:pPr>
        <w:pStyle w:val="FirstParagraph"/>
      </w:pPr>
      <w:r>
        <w:rPr>
          <w:bCs/>
          <w:b/>
        </w:rPr>
        <w:t xml:space="preserve">Construtora Horizonte Azul Ltda.</w:t>
      </w:r>
    </w:p>
    <w:p>
      <w:pPr>
        <w:pStyle w:val="BodyText"/>
      </w:pPr>
      <w:r>
        <w:t xml:space="preserve">CNPJ: 12.345.678/0001-90</w:t>
      </w:r>
    </w:p>
    <w:p>
      <w:pPr>
        <w:pStyle w:val="BodyText"/>
      </w:pPr>
      <w:r>
        <w:t xml:space="preserve">Av. Atlântica, 1500 – Sala 812</w:t>
      </w:r>
    </w:p>
    <w:p>
      <w:pPr>
        <w:pStyle w:val="BodyText"/>
      </w:pPr>
      <w:r>
        <w:t xml:space="preserve">Barra da Tijuca, Rio de Janeiro – RJ</w:t>
      </w:r>
    </w:p>
    <w:p>
      <w:pPr>
        <w:pStyle w:val="BodyText"/>
      </w:pPr>
      <w:r>
        <w:t xml:space="preserve">CEP: 22790-004, Brazil</w:t>
      </w:r>
    </w:p>
    <w:p>
      <w:pPr>
        <w:pStyle w:val="BodyText"/>
      </w:pPr>
      <w:r>
        <w:t xml:space="preserve">Tel: +55 (21) 3456-7890</w:t>
      </w:r>
    </w:p>
    <w:p>
      <w:pPr>
        <w:pStyle w:val="BodyText"/>
      </w:pPr>
      <w:r>
        <w:t xml:space="preserve">Email: compras@horizonteazul.com.br</w:t>
      </w:r>
    </w:p>
    <w:bookmarkEnd w:id="21"/>
    <w:bookmarkStart w:id="22" w:name="vendor-service-provider"/>
    <w:p>
      <w:pPr>
        <w:pStyle w:val="Heading3"/>
      </w:pPr>
      <w:r>
        <w:t xml:space="preserve">Vendor / Service Provider</w:t>
      </w:r>
    </w:p>
    <w:p>
      <w:pPr>
        <w:pStyle w:val="FirstParagraph"/>
      </w:pPr>
      <w:r>
        <w:rPr>
          <w:bCs/>
          <w:b/>
        </w:rPr>
        <w:t xml:space="preserve">Estúdio Arquitetura Costa &amp; Ferreira</w:t>
      </w:r>
    </w:p>
    <w:p>
      <w:pPr>
        <w:pStyle w:val="BodyText"/>
      </w:pPr>
      <w:r>
        <w:t xml:space="preserve">CNPJ: 98.765.432/0001-15</w:t>
      </w:r>
    </w:p>
    <w:p>
      <w:pPr>
        <w:pStyle w:val="BodyText"/>
      </w:pPr>
      <w:r>
        <w:t xml:space="preserve">R. Voluntários da Pátria, 320 – 4º Andar</w:t>
      </w:r>
    </w:p>
    <w:p>
      <w:pPr>
        <w:pStyle w:val="BodyText"/>
      </w:pPr>
      <w:r>
        <w:t xml:space="preserve">Botafogo, Rio de Janeiro – RJ</w:t>
      </w:r>
    </w:p>
    <w:p>
      <w:pPr>
        <w:pStyle w:val="BodyText"/>
      </w:pPr>
      <w:r>
        <w:t xml:space="preserve">CEP: 22270-000, Brazil</w:t>
      </w:r>
    </w:p>
    <w:p>
      <w:pPr>
        <w:pStyle w:val="BodyText"/>
      </w:pPr>
      <w:r>
        <w:t xml:space="preserve">Tel: +55 (21) 2543-1200</w:t>
      </w:r>
    </w:p>
    <w:p>
      <w:pPr>
        <w:pStyle w:val="BodyText"/>
      </w:pPr>
      <w:r>
        <w:t xml:space="preserve">Email: contato@costaferreira.arq.br</w:t>
      </w:r>
    </w:p>
    <w:p>
      <w:pPr>
        <w:pStyle w:val="BodyText"/>
      </w:pPr>
      <w:r>
        <w:t xml:space="preserve">CAU/RJ Registration: A-4567-8901-2</w:t>
      </w:r>
    </w:p>
    <w:bookmarkEnd w:id="22"/>
    <w:p>
      <w:pPr>
        <w:pStyle w:val="BodyText"/>
      </w:pPr>
      <w:r>
        <w:rPr>
          <w:bCs/>
          <w:b/>
        </w:rPr>
        <w:t xml:space="preserve">Purchase Order Number:</w:t>
      </w:r>
      <w:r>
        <w:t xml:space="preserve"> </w:t>
      </w:r>
      <w:r>
        <w:t xml:space="preserve">PO-2025-RJ-04872</w:t>
      </w:r>
    </w:p>
    <w:p>
      <w:pPr>
        <w:pStyle w:val="BodyText"/>
      </w:pPr>
      <w:r>
        <w:rPr>
          <w:bCs/>
          <w:b/>
        </w:rPr>
        <w:t xml:space="preserve">Date of Issue:</w:t>
      </w:r>
      <w:r>
        <w:t xml:space="preserve"> </w:t>
      </w:r>
      <w:r>
        <w:t xml:space="preserve">15 June 2025</w:t>
      </w:r>
    </w:p>
    <w:p>
      <w:pPr>
        <w:pStyle w:val="BodyText"/>
      </w:pPr>
      <w:r>
        <w:rPr>
          <w:bCs/>
          <w:b/>
        </w:rPr>
        <w:t xml:space="preserve">Required Completion Date:</w:t>
      </w:r>
      <w:r>
        <w:t xml:space="preserve"> </w:t>
      </w:r>
      <w:r>
        <w:t xml:space="preserve">30 November 2025</w:t>
      </w:r>
    </w:p>
    <w:p>
      <w:pPr>
        <w:pStyle w:val="BodyText"/>
      </w:pPr>
      <w:r>
        <w:rPr>
          <w:bCs/>
          <w:b/>
        </w:rPr>
        <w:t xml:space="preserve">Project Location:</w:t>
      </w:r>
      <w:r>
        <w:t xml:space="preserve"> </w:t>
      </w:r>
      <w:r>
        <w:t xml:space="preserve">Av. das Américas, 4500 – Barra da Tijuca, Rio de Janeiro – RJ, Brazil</w:t>
      </w:r>
    </w:p>
    <w:p>
      <w:pPr>
        <w:pStyle w:val="BodyText"/>
      </w:pPr>
      <w:r>
        <w:rPr>
          <w:bCs/>
          <w:b/>
        </w:rPr>
        <w:t xml:space="preserve">Project Reference:</w:t>
      </w:r>
      <w:r>
        <w:t xml:space="preserve"> </w:t>
      </w:r>
      <w:r>
        <w:t xml:space="preserve">Residential Complex "Residencial Vista do Mar" – 120 Units</w:t>
      </w:r>
    </w:p>
    <w:p>
      <w:pPr>
        <w:pStyle w:val="BodyText"/>
      </w:pPr>
      <w:r>
        <w:rPr>
          <w:bCs/>
          <w:b/>
        </w:rPr>
        <w:t xml:space="preserve">Currency:</w:t>
      </w:r>
      <w:r>
        <w:t xml:space="preserve"> </w:t>
      </w:r>
      <w:r>
        <w:t xml:space="preserve">Brazilian Real (BRL – R$)</w:t>
      </w:r>
    </w:p>
    <w:bookmarkStart w:id="23" w:name="scope-of-architectural-services"/>
    <w:p>
      <w:pPr>
        <w:pStyle w:val="Heading2"/>
      </w:pPr>
      <w:r>
        <w:t xml:space="preserve">Scope of Architectural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Architectural Service</w:t>
            </w:r>
          </w:p>
        </w:tc>
        <w:tc>
          <w:tcPr/>
          <w:p>
            <w:pPr>
              <w:pStyle w:val="Compact"/>
              <w:jc w:val="left"/>
            </w:pPr>
            <w:r>
              <w:t xml:space="preserve">Deliverable</w:t>
            </w:r>
          </w:p>
        </w:tc>
        <w:tc>
          <w:tcPr/>
          <w:p>
            <w:pPr>
              <w:pStyle w:val="Compact"/>
              <w:jc w:val="left"/>
            </w:pPr>
            <w:r>
              <w:t xml:space="preserve">Quantity</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Conceptual architectural design and feasibility study for the 120-unit residential complex, including site analysis of the Barra da Tijuca terrain, orientation studies for natural ventilation, and compliance with Rio de Janeiro municipal building codes (Lei de Zoneamento do Município do Rio de Janeiro).</w:t>
            </w:r>
          </w:p>
        </w:tc>
        <w:tc>
          <w:tcPr/>
          <w:p>
            <w:pPr>
              <w:pStyle w:val="Compact"/>
              <w:jc w:val="left"/>
            </w:pPr>
            <w:r>
              <w:t xml:space="preserve">Concept Report + 3D Renders</w:t>
            </w:r>
          </w:p>
        </w:tc>
        <w:tc>
          <w:tcPr/>
          <w:p>
            <w:pPr>
              <w:pStyle w:val="Compact"/>
              <w:jc w:val="left"/>
            </w:pPr>
            <w:r>
              <w:t xml:space="preserve">1.0</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02</w:t>
            </w:r>
          </w:p>
        </w:tc>
        <w:tc>
          <w:tcPr/>
          <w:p>
            <w:pPr>
              <w:pStyle w:val="Compact"/>
              <w:jc w:val="left"/>
            </w:pPr>
            <w:r>
              <w:t xml:space="preserve">Development of preliminary architectural drawings, floor plans, elevations, and sections for all building typologies (A, B, C), incorporating sustainable design principles aligned with the PROCEL/Edifica program and Rio de Janeiro's green building incentives.</w:t>
            </w:r>
          </w:p>
        </w:tc>
        <w:tc>
          <w:tcPr/>
          <w:p>
            <w:pPr>
              <w:pStyle w:val="Compact"/>
              <w:jc w:val="left"/>
            </w:pPr>
            <w:r>
              <w:t xml:space="preserve">Preliminary Drawings Set</w:t>
            </w:r>
          </w:p>
        </w:tc>
        <w:tc>
          <w:tcPr/>
          <w:p>
            <w:pPr>
              <w:pStyle w:val="Compact"/>
              <w:jc w:val="left"/>
            </w:pPr>
            <w:r>
              <w:t xml:space="preserve">1.0</w:t>
            </w:r>
          </w:p>
        </w:tc>
        <w:tc>
          <w:tcPr/>
          <w:p>
            <w:pPr>
              <w:pStyle w:val="Compact"/>
              <w:jc w:val="left"/>
            </w:pPr>
            <w:r>
              <w:t xml:space="preserve">R$ 240,000.00</w:t>
            </w:r>
          </w:p>
        </w:tc>
        <w:tc>
          <w:tcPr/>
          <w:p>
            <w:pPr>
              <w:pStyle w:val="Compact"/>
              <w:jc w:val="left"/>
            </w:pPr>
            <w:r>
              <w:t xml:space="preserve">R$ 240,000.00</w:t>
            </w:r>
          </w:p>
        </w:tc>
      </w:tr>
      <w:tr>
        <w:tc>
          <w:tcPr/>
          <w:p>
            <w:pPr>
              <w:pStyle w:val="Compact"/>
              <w:jc w:val="left"/>
            </w:pPr>
            <w:r>
              <w:t xml:space="preserve">03</w:t>
            </w:r>
          </w:p>
        </w:tc>
        <w:tc>
          <w:tcPr/>
          <w:p>
            <w:pPr>
              <w:pStyle w:val="Compact"/>
              <w:jc w:val="left"/>
            </w:pPr>
            <w:r>
              <w:t xml:space="preserve">Production of full construction documentation package, including detailed architectural plans, specifications, material schedules, and technical notes, prepared in accordance with ABNT NBR 6492 and NBR 15920 standards for architectural representation in Brazil.</w:t>
            </w:r>
          </w:p>
        </w:tc>
        <w:tc>
          <w:tcPr/>
          <w:p>
            <w:pPr>
              <w:pStyle w:val="Compact"/>
              <w:jc w:val="left"/>
            </w:pPr>
            <w:r>
              <w:t xml:space="preserve">Construction Drawings (CAD/BIM)</w:t>
            </w:r>
          </w:p>
        </w:tc>
        <w:tc>
          <w:tcPr/>
          <w:p>
            <w:pPr>
              <w:pStyle w:val="Compact"/>
              <w:jc w:val="left"/>
            </w:pPr>
            <w:r>
              <w:t xml:space="preserve">1.0</w:t>
            </w:r>
          </w:p>
        </w:tc>
        <w:tc>
          <w:tcPr/>
          <w:p>
            <w:pPr>
              <w:pStyle w:val="Compact"/>
              <w:jc w:val="left"/>
            </w:pPr>
            <w:r>
              <w:t xml:space="preserve">R$ 320,000.00</w:t>
            </w:r>
          </w:p>
        </w:tc>
        <w:tc>
          <w:tcPr/>
          <w:p>
            <w:pPr>
              <w:pStyle w:val="Compact"/>
              <w:jc w:val="left"/>
            </w:pPr>
            <w:r>
              <w:t xml:space="preserve">R$ 320,000.00</w:t>
            </w:r>
          </w:p>
        </w:tc>
      </w:tr>
      <w:tr>
        <w:tc>
          <w:tcPr/>
          <w:p>
            <w:pPr>
              <w:pStyle w:val="Compact"/>
              <w:jc w:val="left"/>
            </w:pPr>
            <w:r>
              <w:t xml:space="preserve">04</w:t>
            </w:r>
          </w:p>
        </w:tc>
        <w:tc>
          <w:tcPr/>
          <w:p>
            <w:pPr>
              <w:pStyle w:val="Compact"/>
              <w:jc w:val="left"/>
            </w:pPr>
            <w:r>
              <w:t xml:space="preserve">Coordination and submission of all architectural documentation to the Prefeitura da Cidade do Rio de Janeiro (Municipal City Hall) for building permit approval (Habite-se), including responses to technical observations from the Secretaria de Urbanismo.</w:t>
            </w:r>
          </w:p>
        </w:tc>
        <w:tc>
          <w:tcPr/>
          <w:p>
            <w:pPr>
              <w:pStyle w:val="Compact"/>
              <w:jc w:val="left"/>
            </w:pPr>
            <w:r>
              <w:t xml:space="preserve">Permit Approval Package</w:t>
            </w:r>
          </w:p>
        </w:tc>
        <w:tc>
          <w:tcPr/>
          <w:p>
            <w:pPr>
              <w:pStyle w:val="Compact"/>
              <w:jc w:val="left"/>
            </w:pPr>
            <w:r>
              <w:t xml:space="preserve">1.0</w:t>
            </w:r>
          </w:p>
        </w:tc>
        <w:tc>
          <w:tcPr/>
          <w:p>
            <w:pPr>
              <w:pStyle w:val="Compact"/>
              <w:jc w:val="left"/>
            </w:pPr>
            <w:r>
              <w:t xml:space="preserve">R$ 95,000.00</w:t>
            </w:r>
          </w:p>
        </w:tc>
        <w:tc>
          <w:tcPr/>
          <w:p>
            <w:pPr>
              <w:pStyle w:val="Compact"/>
              <w:jc w:val="left"/>
            </w:pPr>
            <w:r>
              <w:t xml:space="preserve">R$ 95,000.00</w:t>
            </w:r>
          </w:p>
        </w:tc>
      </w:tr>
      <w:tr>
        <w:tc>
          <w:tcPr/>
          <w:p>
            <w:pPr>
              <w:pStyle w:val="Compact"/>
              <w:jc w:val="left"/>
            </w:pPr>
            <w:r>
              <w:t xml:space="preserve">05</w:t>
            </w:r>
          </w:p>
        </w:tc>
        <w:tc>
          <w:tcPr/>
          <w:p>
            <w:pPr>
              <w:pStyle w:val="Compact"/>
              <w:jc w:val="left"/>
            </w:pPr>
            <w:r>
              <w:t xml:space="preserve">On-site architectural supervision and construction phase support, including weekly site visits, progress inspections, resolution of design queries, and issuance of as-built documentation for the entire construction period in Rio de Janeiro.</w:t>
            </w:r>
          </w:p>
        </w:tc>
        <w:tc>
          <w:tcPr/>
          <w:p>
            <w:pPr>
              <w:pStyle w:val="Compact"/>
              <w:jc w:val="left"/>
            </w:pPr>
            <w:r>
              <w:t xml:space="preserve">Monthly Reports + As-Builts</w:t>
            </w:r>
          </w:p>
        </w:tc>
        <w:tc>
          <w:tcPr/>
          <w:p>
            <w:pPr>
              <w:pStyle w:val="Compact"/>
              <w:jc w:val="left"/>
            </w:pPr>
            <w:r>
              <w:t xml:space="preserve">14 months</w:t>
            </w:r>
          </w:p>
        </w:tc>
        <w:tc>
          <w:tcPr/>
          <w:p>
            <w:pPr>
              <w:pStyle w:val="Compact"/>
              <w:jc w:val="left"/>
            </w:pPr>
            <w:r>
              <w:t xml:space="preserve">R$ 42,000.00</w:t>
            </w:r>
          </w:p>
        </w:tc>
        <w:tc>
          <w:tcPr/>
          <w:p>
            <w:pPr>
              <w:pStyle w:val="Compact"/>
              <w:jc w:val="left"/>
            </w:pPr>
            <w:r>
              <w:t xml:space="preserve">R$ 588,000.00</w:t>
            </w:r>
          </w:p>
        </w:tc>
      </w:tr>
      <w:tr>
        <w:tc>
          <w:tcPr/>
          <w:p>
            <w:pPr>
              <w:pStyle w:val="Compact"/>
              <w:jc w:val="left"/>
            </w:pPr>
            <w:r>
              <w:t xml:space="preserve">06</w:t>
            </w:r>
          </w:p>
        </w:tc>
        <w:tc>
          <w:tcPr/>
          <w:p>
            <w:pPr>
              <w:pStyle w:val="Compact"/>
              <w:jc w:val="left"/>
            </w:pPr>
            <w:r>
              <w:t xml:space="preserve">Interior architectural design for common areas (lobby, rooftop pool, fitness center, concierge) and model units, including furniture layout, lighting design coordination, and material selection consistent with the coastal aesthetic of Rio de Janeiro.</w:t>
            </w:r>
          </w:p>
        </w:tc>
        <w:tc>
          <w:tcPr/>
          <w:p>
            <w:pPr>
              <w:pStyle w:val="Compact"/>
              <w:jc w:val="left"/>
            </w:pPr>
            <w:r>
              <w:t xml:space="preserve">Interior Design Package</w:t>
            </w:r>
          </w:p>
        </w:tc>
        <w:tc>
          <w:tcPr/>
          <w:p>
            <w:pPr>
              <w:pStyle w:val="Compact"/>
              <w:jc w:val="left"/>
            </w:pPr>
            <w:r>
              <w:t xml:space="preserve">1.0</w:t>
            </w:r>
          </w:p>
        </w:tc>
        <w:tc>
          <w:tcPr/>
          <w:p>
            <w:pPr>
              <w:pStyle w:val="Compact"/>
              <w:jc w:val="left"/>
            </w:pPr>
            <w:r>
              <w:t xml:space="preserve">R$ 165,000.00</w:t>
            </w:r>
          </w:p>
        </w:tc>
        <w:tc>
          <w:tcPr/>
          <w:p>
            <w:pPr>
              <w:pStyle w:val="Compact"/>
              <w:jc w:val="left"/>
            </w:pPr>
            <w:r>
              <w:t xml:space="preserve">R$ 165,000.00</w:t>
            </w:r>
          </w:p>
        </w:tc>
      </w:tr>
      <w:tr>
        <w:tc>
          <w:tcPr>
            <w:gridSpan w:val="5"/>
          </w:tcPr>
          <w:p>
            <w:pPr>
              <w:pStyle w:val="Compact"/>
              <w:jc w:val="right"/>
            </w:pPr>
            <w:r>
              <w:t xml:space="preserve">TOTAL PURCHASE ORDER VALUE:</w:t>
            </w:r>
          </w:p>
        </w:tc>
        <w:tc>
          <w:tcPr/>
          <w:p>
            <w:pPr>
              <w:pStyle w:val="Compact"/>
              <w:jc w:val="left"/>
            </w:pPr>
            <w:r>
              <w:t xml:space="preserve">R$ 1,593,000.00</w:t>
            </w:r>
          </w:p>
        </w:tc>
      </w:tr>
    </w:tbl>
    <w:bookmarkEnd w:id="23"/>
    <w:bookmarkStart w:id="24" w:name="payment-terms-schedule"/>
    <w:p>
      <w:pPr>
        <w:pStyle w:val="Heading2"/>
      </w:pPr>
      <w:r>
        <w:t xml:space="preserve">Payment Terms &amp; Schedule</w:t>
      </w:r>
    </w:p>
    <w:p>
      <w:pPr>
        <w:pStyle w:val="FirstParagraph"/>
      </w:pPr>
      <w:r>
        <w:rPr>
          <w:bCs/>
          <w:b/>
        </w:rPr>
        <w:t xml:space="preserve">1.</w:t>
      </w:r>
      <w:r>
        <w:t xml:space="preserve"> </w:t>
      </w:r>
      <w:r>
        <w:t xml:space="preserve">Payment shall be made in Brazilian Reais (BRL) via bank transfer (TED/PIX) to the account designated by the Architect firm. All payments are subject to the receipt and approval of the corresponding deliverable by the Client's project management team.</w:t>
      </w:r>
    </w:p>
    <w:p>
      <w:pPr>
        <w:pStyle w:val="BodyText"/>
      </w:pPr>
      <w:r>
        <w:rPr>
          <w:bCs/>
          <w:b/>
        </w:rPr>
        <w:t xml:space="preserve">2.</w:t>
      </w:r>
      <w:r>
        <w:t xml:space="preserve"> </w:t>
      </w:r>
      <w:r>
        <w:t xml:space="preserve">Payment schedule: 20% upon signing of this Purchase Order; 25% upon approval of the Conceptual Design (Item 01); 25% upon approval of Construction Documentation (Item 03); 15% upon municipal permit approval (Item 04); 15% distributed monthly during the construction supervision phase (Item 05).</w:t>
      </w:r>
    </w:p>
    <w:p>
      <w:pPr>
        <w:pStyle w:val="BodyText"/>
      </w:pPr>
      <w:r>
        <w:rPr>
          <w:bCs/>
          <w:b/>
        </w:rPr>
        <w:t xml:space="preserve">3.</w:t>
      </w:r>
      <w:r>
        <w:t xml:space="preserve"> </w:t>
      </w:r>
      <w:r>
        <w:t xml:space="preserve">Invoices must be issued with full tax documentation (Nota Fiscal) in compliance with Brazilian federal, state (Rio de Janeiro), and municipal tax regulations. Applicable taxes include ISS (Imposto Sobre Serviços) at the rate of 5% for services rendered in Rio de Janeiro, and any applicable PIS/COFINS deductions.</w:t>
      </w:r>
    </w:p>
    <w:p>
      <w:pPr>
        <w:pStyle w:val="BodyText"/>
      </w:pPr>
      <w:r>
        <w:rPr>
          <w:bCs/>
          <w:b/>
        </w:rPr>
        <w:t xml:space="preserve">4.</w:t>
      </w:r>
      <w:r>
        <w:t xml:space="preserve"> </w:t>
      </w:r>
      <w:r>
        <w:t xml:space="preserve">Late payments beyond 30 days from the invoice due date shall accrue interest at the rate of 1% per month, in accordance with Brazilian commercial law (Código Civil, Art. 406).</w:t>
      </w:r>
    </w:p>
    <w:bookmarkEnd w:id="24"/>
    <w:bookmarkStart w:id="25" w:name="terms-conditions"/>
    <w:p>
      <w:pPr>
        <w:pStyle w:val="Heading2"/>
      </w:pPr>
      <w:r>
        <w:t xml:space="preserve">Terms &amp; Conditions</w:t>
      </w:r>
    </w:p>
    <w:p>
      <w:pPr>
        <w:pStyle w:val="FirstParagraph"/>
      </w:pPr>
      <w:r>
        <w:rPr>
          <w:bCs/>
          <w:b/>
        </w:rPr>
        <w:t xml:space="preserve">1. Professional Registration:</w:t>
      </w:r>
      <w:r>
        <w:t xml:space="preserve"> </w:t>
      </w:r>
      <w:r>
        <w:t xml:space="preserve">The Architect firm shall maintain valid registration with the Conselho de Arquitetura e Urbanismo do Rio de Janeiro (CAU/RJ) throughout the duration of this Purchase Order. The lead Architect responsible for this project shall hold a minimum of 15 years of professional experience in residential developments in the State of Rio de Janeiro.</w:t>
      </w:r>
    </w:p>
    <w:p>
      <w:pPr>
        <w:pStyle w:val="BodyText"/>
      </w:pPr>
      <w:r>
        <w:rPr>
          <w:bCs/>
          <w:b/>
        </w:rPr>
        <w:t xml:space="preserve">2. Intellectual Property:</w:t>
      </w:r>
      <w:r>
        <w:t xml:space="preserve"> </w:t>
      </w:r>
      <w:r>
        <w:t xml:space="preserve">All architectural drawings, designs, models, and documentation produced under this Purchase Order shall become the exclusive property of Construtora Horizonte Azul Ltda. upon full payment. The Architect firm retains the right to display the project in professional portfolios with prior written consent from the Client.</w:t>
      </w:r>
    </w:p>
    <w:p>
      <w:pPr>
        <w:pStyle w:val="BodyText"/>
      </w:pPr>
      <w:r>
        <w:rPr>
          <w:bCs/>
          <w:b/>
        </w:rPr>
        <w:t xml:space="preserve">3. Regulatory Compliance:</w:t>
      </w:r>
      <w:r>
        <w:t xml:space="preserve"> </w:t>
      </w:r>
      <w:r>
        <w:t xml:space="preserve">All architectural work shall comply with the building regulations of the City of Rio de Janeiro, the State of Rio de Janeiro, and applicable federal Brazilian standards (ABNT). The Architect is responsible for ensuring that all designs meet the requirements of the local fire department (Corpo de Bombeiros Militar do Estado do Rio de Janeiro) and environmental licensing (INEA – Instituto Estadual do Ambiente).</w:t>
      </w:r>
    </w:p>
    <w:p>
      <w:pPr>
        <w:pStyle w:val="BodyText"/>
      </w:pPr>
      <w:r>
        <w:rPr>
          <w:bCs/>
          <w:b/>
        </w:rPr>
        <w:t xml:space="preserve">4. Confidentiality:</w:t>
      </w:r>
      <w:r>
        <w:t xml:space="preserve"> </w:t>
      </w:r>
      <w:r>
        <w:t xml:space="preserve">Both parties agree to maintain strict confidentiality regarding all project details, financial terms, and proprietary information exchanged in connection with this Purchase Order. This obligation shall survive the termination of the agreement for a period of five (5) years.</w:t>
      </w:r>
    </w:p>
    <w:p>
      <w:pPr>
        <w:pStyle w:val="BodyText"/>
      </w:pPr>
      <w:r>
        <w:rPr>
          <w:bCs/>
          <w:b/>
        </w:rPr>
        <w:t xml:space="preserve">5. Termination:</w:t>
      </w:r>
      <w:r>
        <w:t xml:space="preserve"> </w:t>
      </w:r>
      <w:r>
        <w:t xml:space="preserve">Either party may terminate this Purchase Order with 60 days' written notice. In the event of termination, the Client shall pay for all services rendered and deliverables approved up to the date of termination. The Architect shall deliver all work-in-progress documentation to the Client.</w:t>
      </w:r>
    </w:p>
    <w:p>
      <w:pPr>
        <w:pStyle w:val="BodyText"/>
      </w:pPr>
      <w:r>
        <w:rPr>
          <w:bCs/>
          <w:b/>
        </w:rPr>
        <w:t xml:space="preserve">6. Dispute Resolution:</w:t>
      </w:r>
      <w:r>
        <w:t xml:space="preserve"> </w:t>
      </w:r>
      <w:r>
        <w:t xml:space="preserve">Any dispute arising from this Purchase Order shall be resolved through amicable negotiation. Failing resolution within 30 days, the matter shall be submitted to arbitration under the rules of the Câmara de Arbitragem do Centro Brasileiro de Arbitragem (CBAr), with the seat of arbitration in Rio de Janeiro, RJ, Brazil. The governing law shall be the laws of the Federative Republic of Brazil.</w:t>
      </w:r>
    </w:p>
    <w:p>
      <w:pPr>
        <w:pStyle w:val="BodyText"/>
      </w:pPr>
      <w:r>
        <w:rPr>
          <w:bCs/>
          <w:b/>
        </w:rPr>
        <w:t xml:space="preserve">7. Force Majeure:</w:t>
      </w:r>
      <w:r>
        <w:t xml:space="preserve"> </w:t>
      </w:r>
      <w:r>
        <w:t xml:space="preserve">Neither party shall be liable for delays caused by events beyond reasonable control, including but not limited to natural disasters affecting the Rio de Janeiro metropolitan area, government-mandated shutdowns, or pandemics, provided that the affected party notifies the other within 72 hours.</w:t>
      </w:r>
    </w:p>
    <w:bookmarkEnd w:id="25"/>
    <w:bookmarkStart w:id="26" w:name="acceptance-authorization"/>
    <w:p>
      <w:pPr>
        <w:pStyle w:val="Heading2"/>
      </w:pPr>
      <w:r>
        <w:t xml:space="preserve">Acceptance &amp; Authorization</w:t>
      </w:r>
    </w:p>
    <w:p>
      <w:pPr>
        <w:pStyle w:val="FirstParagraph"/>
      </w:pPr>
      <w:r>
        <w:rPr>
          <w:bCs/>
          <w:b/>
        </w:rPr>
        <w:t xml:space="preserve">For the Client:</w:t>
      </w:r>
    </w:p>
    <w:p>
      <w:pPr>
        <w:pStyle w:val="BodyText"/>
      </w:pPr>
      <w:r>
        <w:t xml:space="preserve">Construtora Horizonte Azul Ltda.</w:t>
      </w:r>
    </w:p>
    <w:p>
      <w:pPr>
        <w:pStyle w:val="BodyText"/>
      </w:pPr>
      <w:r>
        <w:t xml:space="preserve">Name: Ricardo Almeida Santos</w:t>
      </w:r>
    </w:p>
    <w:p>
      <w:pPr>
        <w:pStyle w:val="BodyText"/>
      </w:pPr>
      <w:r>
        <w:t xml:space="preserve">Title: Diretor de Compras</w:t>
      </w:r>
    </w:p>
    <w:p>
      <w:pPr>
        <w:pStyle w:val="BodyText"/>
      </w:pPr>
      <w:r>
        <w:t xml:space="preserve">Date: _______________</w:t>
      </w:r>
    </w:p>
    <w:p>
      <w:pPr>
        <w:pStyle w:val="BodyText"/>
      </w:pPr>
      <w:r>
        <w:t xml:space="preserve">Signature: ___________________________</w:t>
      </w:r>
    </w:p>
    <w:p>
      <w:pPr>
        <w:pStyle w:val="BodyText"/>
      </w:pPr>
      <w:r>
        <w:rPr>
          <w:bCs/>
          <w:b/>
        </w:rPr>
        <w:t xml:space="preserve">For the Architect / Vendor:</w:t>
      </w:r>
    </w:p>
    <w:p>
      <w:pPr>
        <w:pStyle w:val="BodyText"/>
      </w:pPr>
      <w:r>
        <w:t xml:space="preserve">Estúdio Arquitetura Costa &amp; Ferreira</w:t>
      </w:r>
    </w:p>
    <w:p>
      <w:pPr>
        <w:pStyle w:val="BodyText"/>
      </w:pPr>
      <w:r>
        <w:t xml:space="preserve">Name: Arq. Marina Costa Ferreira</w:t>
      </w:r>
    </w:p>
    <w:p>
      <w:pPr>
        <w:pStyle w:val="BodyText"/>
      </w:pPr>
      <w:r>
        <w:t xml:space="preserve">Title: Sócia-Diretora / CAU-RJ A-4567-8901-2</w:t>
      </w:r>
    </w:p>
    <w:p>
      <w:pPr>
        <w:pStyle w:val="BodyText"/>
      </w:pPr>
      <w:r>
        <w:t xml:space="preserve">Date: _______________</w:t>
      </w:r>
    </w:p>
    <w:p>
      <w:pPr>
        <w:pStyle w:val="BodyText"/>
      </w:pPr>
      <w:r>
        <w:t xml:space="preserve">Signature: ___________________________</w:t>
      </w:r>
    </w:p>
    <w:p>
      <w:pPr>
        <w:pStyle w:val="BodyText"/>
      </w:pPr>
      <w:r>
        <w:t xml:space="preserve">This Purchase Order is valid for 90 days from the date of issue. This document constitutes a binding agreement between the parties upon execution by both authorized signatories. All communications regarding this Purchase Order shall be directed to the addresses listed above in Rio de Janeiro, Brazil.</w:t>
      </w:r>
    </w:p>
    <w:p>
      <w:pPr>
        <w:pStyle w:val="BodyText"/>
      </w:pPr>
      <w:r>
        <w:t xml:space="preserve">Document generated in compliance with Brazilian commercial documentation standards. PO-2025-RJ-04872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Architectural Services - Rio de Janeiro, Brazil</dc:title>
  <dc:creator/>
  <dc:language>en</dc:language>
  <cp:keywords/>
  <dcterms:created xsi:type="dcterms:W3CDTF">2026-10-10T04:32:59Z</dcterms:created>
  <dcterms:modified xsi:type="dcterms:W3CDTF">2026-10-10T04:32:59Z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