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purchase-order"/>
    <w:p>
      <w:pPr>
        <w:pStyle w:val="Heading1"/>
      </w:pPr>
      <w:r>
        <w:t xml:space="preserve">PURCHASE ORDER</w:t>
      </w:r>
    </w:p>
    <w:p>
      <w:pPr>
        <w:pStyle w:val="FirstParagraph"/>
      </w:pPr>
      <w:r>
        <w:t xml:space="preserve">Architectural Design &amp; Consulting Services — São Paulo, State of São Paulo, Brazil</w:t>
      </w:r>
    </w:p>
    <w:bookmarkEnd w:id="20"/>
    <w:bookmarkStart w:id="21" w:name="issuing-company-buyer"/>
    <w:p>
      <w:pPr>
        <w:pStyle w:val="Heading3"/>
      </w:pPr>
      <w:r>
        <w:t xml:space="preserve">Issuing Company (Buyer)</w:t>
      </w:r>
    </w:p>
    <w:p>
      <w:pPr>
        <w:pStyle w:val="FirstParagraph"/>
      </w:pPr>
      <w:r>
        <w:rPr>
          <w:bCs/>
          <w:b/>
        </w:rPr>
        <w:t xml:space="preserve">Construtora Horizonte Paulista S.A.</w:t>
      </w:r>
    </w:p>
    <w:p>
      <w:pPr>
        <w:pStyle w:val="BodyText"/>
      </w:pPr>
      <w:r>
        <w:t xml:space="preserve">Av. Paulista, 1578 — 12th Floor</w:t>
      </w:r>
    </w:p>
    <w:p>
      <w:pPr>
        <w:pStyle w:val="BodyText"/>
      </w:pPr>
      <w:r>
        <w:t xml:space="preserve">Bela Vista, São Paulo — SP, 01310-300</w:t>
      </w:r>
    </w:p>
    <w:p>
      <w:pPr>
        <w:pStyle w:val="BodyText"/>
      </w:pPr>
      <w:r>
        <w:t xml:space="preserve">Brazil</w:t>
      </w:r>
    </w:p>
    <w:p>
      <w:pPr>
        <w:pStyle w:val="BodyText"/>
      </w:pPr>
      <w:r>
        <w:t xml:space="preserve">CNPJ: 12.345.678/0001-90</w:t>
      </w:r>
    </w:p>
    <w:p>
      <w:pPr>
        <w:pStyle w:val="BodyText"/>
      </w:pPr>
      <w:r>
        <w:t xml:space="preserve">Phone: +55 (11) 3284-7700</w:t>
      </w:r>
    </w:p>
    <w:p>
      <w:pPr>
        <w:pStyle w:val="BodyText"/>
      </w:pPr>
      <w:r>
        <w:t xml:space="preserve">Email: procurement@horizontepaulista.com.br</w:t>
      </w:r>
    </w:p>
    <w:bookmarkEnd w:id="21"/>
    <w:bookmarkStart w:id="22" w:name="vendor-service-provider-architect"/>
    <w:p>
      <w:pPr>
        <w:pStyle w:val="Heading3"/>
      </w:pPr>
      <w:r>
        <w:t xml:space="preserve">Vendor / Service Provider (Architect)</w:t>
      </w:r>
    </w:p>
    <w:p>
      <w:pPr>
        <w:pStyle w:val="FirstParagraph"/>
      </w:pPr>
      <w:r>
        <w:rPr>
          <w:bCs/>
          <w:b/>
        </w:rPr>
        <w:t xml:space="preserve">Estúdio Arquitetura Vasconcelos &amp; Associados Ltda.</w:t>
      </w:r>
    </w:p>
    <w:p>
      <w:pPr>
        <w:pStyle w:val="BodyText"/>
      </w:pPr>
      <w:r>
        <w:t xml:space="preserve">Rua Oscar Freire, 892 — 4th Floor</w:t>
      </w:r>
    </w:p>
    <w:p>
      <w:pPr>
        <w:pStyle w:val="BodyText"/>
      </w:pPr>
      <w:r>
        <w:t xml:space="preserve">Jardins, São Paulo — SP, 01426-001</w:t>
      </w:r>
    </w:p>
    <w:p>
      <w:pPr>
        <w:pStyle w:val="BodyText"/>
      </w:pPr>
      <w:r>
        <w:t xml:space="preserve">Brazil</w:t>
      </w:r>
    </w:p>
    <w:p>
      <w:pPr>
        <w:pStyle w:val="BodyText"/>
      </w:pPr>
      <w:r>
        <w:t xml:space="preserve">CNPJ: 98.765.432/0001-15</w:t>
      </w:r>
    </w:p>
    <w:p>
      <w:pPr>
        <w:pStyle w:val="BodyText"/>
      </w:pPr>
      <w:r>
        <w:t xml:space="preserve">CAU/SP Registration: A-4567-8901-SP</w:t>
      </w:r>
    </w:p>
    <w:p>
      <w:pPr>
        <w:pStyle w:val="BodyText"/>
      </w:pPr>
      <w:r>
        <w:t xml:space="preserve">Phone: +55 (11) 3061-2244</w:t>
      </w:r>
    </w:p>
    <w:p>
      <w:pPr>
        <w:pStyle w:val="BodyText"/>
      </w:pPr>
      <w:r>
        <w:t xml:space="preserve">Email: contato@vasconcelosarq.com.br</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PO-2025-SP-00487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Project Reference:</w:t>
            </w:r>
          </w:p>
        </w:tc>
        <w:tc>
          <w:tcPr/>
          <w:p>
            <w:pPr>
              <w:pStyle w:val="Compact"/>
              <w:jc w:val="left"/>
            </w:pPr>
            <w:r>
              <w:t xml:space="preserve">Residencial Vila Mariana Tower — São Paulo, SP</w:t>
            </w:r>
          </w:p>
        </w:tc>
        <w:tc>
          <w:tcPr/>
          <w:p>
            <w:pPr>
              <w:pStyle w:val="Compact"/>
              <w:jc w:val="left"/>
            </w:pPr>
            <w:r>
              <w:t xml:space="preserve">Delivery Location:</w:t>
            </w:r>
          </w:p>
        </w:tc>
        <w:tc>
          <w:tcPr/>
          <w:p>
            <w:pPr>
              <w:pStyle w:val="Compact"/>
              <w:jc w:val="left"/>
            </w:pPr>
            <w:r>
              <w:t xml:space="preserve">Av. Ibirapuera, 2450 — Moema, São Paulo, SP, 04029-200, Brazil</w:t>
            </w:r>
          </w:p>
        </w:tc>
      </w:tr>
      <w:tr>
        <w:tc>
          <w:tcPr/>
          <w:p>
            <w:pPr>
              <w:pStyle w:val="Compact"/>
              <w:jc w:val="left"/>
            </w:pPr>
            <w:r>
              <w:t xml:space="preserve">Payment Terms:</w:t>
            </w:r>
          </w:p>
        </w:tc>
        <w:tc>
          <w:tcPr/>
          <w:p>
            <w:pPr>
              <w:pStyle w:val="Compact"/>
              <w:jc w:val="left"/>
            </w:pPr>
            <w:r>
              <w:t xml:space="preserve">Net 30 days from invoice acceptance</w:t>
            </w:r>
          </w:p>
        </w:tc>
        <w:tc>
          <w:tcPr/>
          <w:p>
            <w:pPr>
              <w:pStyle w:val="Compact"/>
              <w:jc w:val="left"/>
            </w:pPr>
            <w:r>
              <w:t xml:space="preserve">Currency:</w:t>
            </w:r>
          </w:p>
        </w:tc>
        <w:tc>
          <w:tcPr/>
          <w:p>
            <w:pPr>
              <w:pStyle w:val="Compact"/>
              <w:jc w:val="left"/>
            </w:pPr>
            <w:r>
              <w:t xml:space="preserve">Brazilian Real (BRL / R$)</w:t>
            </w:r>
          </w:p>
        </w:tc>
      </w:tr>
      <w:tr>
        <w:tc>
          <w:tcPr/>
          <w:p>
            <w:pPr>
              <w:pStyle w:val="Compact"/>
              <w:jc w:val="left"/>
            </w:pPr>
            <w:r>
              <w:t xml:space="preserve">Valid Until:</w:t>
            </w:r>
          </w:p>
        </w:tc>
        <w:tc>
          <w:tcPr/>
          <w:p>
            <w:pPr>
              <w:pStyle w:val="Compact"/>
              <w:jc w:val="left"/>
            </w:pPr>
            <w:r>
              <w:t xml:space="preserve">14 July 2025</w:t>
            </w:r>
          </w:p>
        </w:tc>
        <w:tc>
          <w:tcPr/>
          <w:p>
            <w:pPr>
              <w:pStyle w:val="Compact"/>
              <w:jc w:val="left"/>
            </w:pPr>
            <w:r>
              <w:t xml:space="preserve">Contract Duration:</w:t>
            </w:r>
          </w:p>
        </w:tc>
        <w:tc>
          <w:tcPr/>
          <w:p>
            <w:pPr>
              <w:pStyle w:val="Compact"/>
              <w:jc w:val="left"/>
            </w:pPr>
            <w:r>
              <w:t xml:space="preserve">18 months from acceptance date</w:t>
            </w:r>
          </w:p>
        </w:tc>
      </w:tr>
    </w:tbl>
    <w:bookmarkStart w:id="23" w:name="scope-of-architectural-services"/>
    <w:p>
      <w:pPr>
        <w:pStyle w:val="Heading2"/>
      </w:pPr>
      <w:r>
        <w:t xml:space="preserve">1. Scope of Architectural Services</w:t>
      </w:r>
    </w:p>
    <w:p>
      <w:pPr>
        <w:pStyle w:val="FirstParagraph"/>
      </w:pPr>
      <w:r>
        <w:t xml:space="preserve">This Purchase Order is issued by Construtora Horizonte Paulista S.A. to engage the services of Estúdio Arquitetura Vasconcelos &amp; Associados Ltda., a registered architectural firm operating in São Paulo, Brazil, for the complete architectural design, development, and technical supervision of the</w:t>
      </w:r>
      <w:r>
        <w:t xml:space="preserve"> </w:t>
      </w:r>
      <w:r>
        <w:rPr>
          <w:bCs/>
          <w:b/>
        </w:rPr>
        <w:t xml:space="preserve">Residencial Vila Mariana Tower</w:t>
      </w:r>
      <w:r>
        <w:t xml:space="preserve"> </w:t>
      </w:r>
      <w:r>
        <w:t xml:space="preserve">project. The Architect shall comply with all applicable regulations of the Conselho de Arquitetura e Urbanismo do Estado de São Paulo (CAU/SP), the municipal building code of the City of São Paulo (Código de Obras do Município de São Paulo), and all federal and state environmental and urban planning requirements in force in Brazil.</w:t>
      </w:r>
    </w:p>
    <w:bookmarkEnd w:id="23"/>
    <w:bookmarkStart w:id="24" w:name="line-items-pricing"/>
    <w:p>
      <w:pPr>
        <w:pStyle w:val="Heading2"/>
      </w:pPr>
      <w:r>
        <w:t xml:space="preserve">2.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Architectural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Conceptual architectural design and feasibility study for a 32-storey residential tower in Moema, São Paulo, including massing studies, site analysis, and compliance review with the Plano Diretor Estratégico do Município de São Paulo.</w:t>
            </w:r>
          </w:p>
        </w:tc>
        <w:tc>
          <w:tcPr/>
          <w:p>
            <w:pPr>
              <w:pStyle w:val="Compact"/>
              <w:jc w:val="left"/>
            </w:pPr>
            <w:r>
              <w:t xml:space="preserve">1</w:t>
            </w:r>
          </w:p>
        </w:tc>
        <w:tc>
          <w:tcPr/>
          <w:p>
            <w:pPr>
              <w:pStyle w:val="Compact"/>
              <w:jc w:val="left"/>
            </w:pPr>
            <w:r>
              <w:t xml:space="preserve">Lot</w:t>
            </w:r>
          </w:p>
        </w:tc>
        <w:tc>
          <w:tcPr/>
          <w:p>
            <w:pPr>
              <w:pStyle w:val="Compact"/>
              <w:jc w:val="left"/>
            </w:pPr>
            <w:r>
              <w:t xml:space="preserve">R$ 185,000.00</w:t>
            </w:r>
          </w:p>
        </w:tc>
        <w:tc>
          <w:tcPr/>
          <w:p>
            <w:pPr>
              <w:pStyle w:val="Compact"/>
              <w:jc w:val="left"/>
            </w:pPr>
            <w:r>
              <w:t xml:space="preserve">R$ 185,000.00</w:t>
            </w:r>
          </w:p>
        </w:tc>
      </w:tr>
      <w:tr>
        <w:tc>
          <w:tcPr/>
          <w:p>
            <w:pPr>
              <w:pStyle w:val="Compact"/>
              <w:jc w:val="left"/>
            </w:pPr>
            <w:r>
              <w:t xml:space="preserve">2</w:t>
            </w:r>
          </w:p>
        </w:tc>
        <w:tc>
          <w:tcPr/>
          <w:p>
            <w:pPr>
              <w:pStyle w:val="Compact"/>
              <w:jc w:val="left"/>
            </w:pPr>
            <w:r>
              <w:t xml:space="preserve">Preliminary design development: floor plans, elevations, sections, and 3D renderings for all 32 residential levels plus 2 basement parking levels, in accordance with ABNT NBR 15575 and São Paulo municipal accessibility standards.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R$ 320,000.00</w:t>
            </w:r>
          </w:p>
        </w:tc>
        <w:tc>
          <w:tcPr/>
          <w:p>
            <w:pPr>
              <w:pStyle w:val="Compact"/>
              <w:jc w:val="left"/>
            </w:pPr>
            <w:r>
              <w:t xml:space="preserve">R$ 320,000.00</w:t>
            </w:r>
          </w:p>
        </w:tc>
      </w:tr>
      <w:tr>
        <w:tc>
          <w:tcPr/>
          <w:p>
            <w:pPr>
              <w:pStyle w:val="Compact"/>
              <w:jc w:val="left"/>
            </w:pPr>
            <w:r>
              <w:t xml:space="preserve">3</w:t>
            </w:r>
          </w:p>
        </w:tc>
        <w:tc>
          <w:tcPr/>
          <w:p>
            <w:pPr>
              <w:pStyle w:val="Compact"/>
              <w:jc w:val="left"/>
            </w:pPr>
            <w:r>
              <w:t xml:space="preserve">Executive architectural documentation: complete construction drawings, specifications, and technical notes for submission to the Prefeitura do Município de São Paulo for building permit (Habite-se / Alvará de Construção).</w:t>
            </w:r>
          </w:p>
        </w:tc>
        <w:tc>
          <w:tcPr/>
          <w:p>
            <w:pPr>
              <w:pStyle w:val="Compact"/>
              <w:jc w:val="left"/>
            </w:pPr>
            <w:r>
              <w:t xml:space="preserve">1</w:t>
            </w:r>
          </w:p>
        </w:tc>
        <w:tc>
          <w:tcPr/>
          <w:p>
            <w:pPr>
              <w:pStyle w:val="Compact"/>
              <w:jc w:val="left"/>
            </w:pPr>
            <w:r>
              <w:t xml:space="preserve">Lot</w:t>
            </w:r>
          </w:p>
        </w:tc>
        <w:tc>
          <w:tcPr/>
          <w:p>
            <w:pPr>
              <w:pStyle w:val="Compact"/>
              <w:jc w:val="left"/>
            </w:pPr>
            <w:r>
              <w:t xml:space="preserve">R$ 450,000.00</w:t>
            </w:r>
          </w:p>
        </w:tc>
        <w:tc>
          <w:tcPr/>
          <w:p>
            <w:pPr>
              <w:pStyle w:val="Compact"/>
              <w:jc w:val="left"/>
            </w:pPr>
            <w:r>
              <w:t xml:space="preserve">R$ 450,000.00</w:t>
            </w:r>
          </w:p>
        </w:tc>
      </w:tr>
      <w:tr>
        <w:tc>
          <w:tcPr/>
          <w:p>
            <w:pPr>
              <w:pStyle w:val="Compact"/>
              <w:jc w:val="left"/>
            </w:pPr>
            <w:r>
              <w:t xml:space="preserve">4</w:t>
            </w:r>
          </w:p>
        </w:tc>
        <w:tc>
          <w:tcPr/>
          <w:p>
            <w:pPr>
              <w:pStyle w:val="Compact"/>
              <w:jc w:val="left"/>
            </w:pPr>
            <w:r>
              <w:t xml:space="preserve">Architectural supervision and site inspection during construction phase, including weekly site visits, progress reports, and coordination with structural, electrical, and mechanical engineering teams at the project site in Moema, São Paulo.</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R$ 42,000.00</w:t>
            </w:r>
          </w:p>
        </w:tc>
        <w:tc>
          <w:tcPr/>
          <w:p>
            <w:pPr>
              <w:pStyle w:val="Compact"/>
              <w:jc w:val="left"/>
            </w:pPr>
            <w:r>
              <w:t xml:space="preserve">R$ 756,000.00</w:t>
            </w:r>
          </w:p>
        </w:tc>
      </w:tr>
      <w:tr>
        <w:tc>
          <w:tcPr/>
          <w:p>
            <w:pPr>
              <w:pStyle w:val="Compact"/>
              <w:jc w:val="left"/>
            </w:pPr>
            <w:r>
              <w:t xml:space="preserve">5</w:t>
            </w:r>
          </w:p>
        </w:tc>
        <w:tc>
          <w:tcPr/>
          <w:p>
            <w:pPr>
              <w:pStyle w:val="Compact"/>
              <w:jc w:val="left"/>
            </w:pPr>
            <w:r>
              <w:t xml:space="preserve">Interior architectural design for common areas, lobby, rooftop amenities, and 4 model units, including material selection, furniture layout, and coordination with landscape architecture for the ground-floor garden in São Paulo.</w:t>
            </w:r>
          </w:p>
        </w:tc>
        <w:tc>
          <w:tcPr/>
          <w:p>
            <w:pPr>
              <w:pStyle w:val="Compact"/>
              <w:jc w:val="left"/>
            </w:pPr>
            <w:r>
              <w:t xml:space="preserve">1</w:t>
            </w:r>
          </w:p>
        </w:tc>
        <w:tc>
          <w:tcPr/>
          <w:p>
            <w:pPr>
              <w:pStyle w:val="Compact"/>
              <w:jc w:val="left"/>
            </w:pPr>
            <w:r>
              <w:t xml:space="preserve">Lot</w:t>
            </w:r>
          </w:p>
        </w:tc>
        <w:tc>
          <w:tcPr/>
          <w:p>
            <w:pPr>
              <w:pStyle w:val="Compact"/>
              <w:jc w:val="left"/>
            </w:pPr>
            <w:r>
              <w:t xml:space="preserve">R$ 210,000.00</w:t>
            </w:r>
          </w:p>
        </w:tc>
        <w:tc>
          <w:tcPr/>
          <w:p>
            <w:pPr>
              <w:pStyle w:val="Compact"/>
              <w:jc w:val="left"/>
            </w:pPr>
            <w:r>
              <w:t xml:space="preserve">R$ 210,000.00</w:t>
            </w:r>
          </w:p>
        </w:tc>
      </w:tr>
      <w:tr>
        <w:tc>
          <w:tcPr/>
          <w:p>
            <w:pPr>
              <w:pStyle w:val="Compact"/>
              <w:jc w:val="left"/>
            </w:pPr>
            <w:r>
              <w:t xml:space="preserve">6</w:t>
            </w:r>
          </w:p>
        </w:tc>
        <w:tc>
          <w:tcPr/>
          <w:p>
            <w:pPr>
              <w:pStyle w:val="Compact"/>
              <w:jc w:val="left"/>
            </w:pPr>
            <w:r>
              <w:t xml:space="preserve">Environmental and urban impact assessment support, including coordination with CETESB (Companhia Ambiental do Estado de São Paulo) and the municipal environmental licensing office for the project in the City of São Paulo.</w:t>
            </w:r>
          </w:p>
        </w:tc>
        <w:tc>
          <w:tcPr/>
          <w:p>
            <w:pPr>
              <w:pStyle w:val="Compact"/>
              <w:jc w:val="left"/>
            </w:pPr>
            <w:r>
              <w:t xml:space="preserve">1</w:t>
            </w:r>
          </w:p>
        </w:tc>
        <w:tc>
          <w:tcPr/>
          <w:p>
            <w:pPr>
              <w:pStyle w:val="Compact"/>
              <w:jc w:val="left"/>
            </w:pPr>
            <w:r>
              <w:t xml:space="preserve">Lot</w:t>
            </w:r>
          </w:p>
        </w:tc>
        <w:tc>
          <w:tcPr/>
          <w:p>
            <w:pPr>
              <w:pStyle w:val="Compact"/>
              <w:jc w:val="left"/>
            </w:pPr>
            <w:r>
              <w:t xml:space="preserve">R$ 95,000.00</w:t>
            </w:r>
          </w:p>
        </w:tc>
        <w:tc>
          <w:tcPr/>
          <w:p>
            <w:pPr>
              <w:pStyle w:val="Compact"/>
              <w:jc w:val="left"/>
            </w:pPr>
            <w:r>
              <w:t xml:space="preserve">R$ 95,000.00</w:t>
            </w:r>
          </w:p>
        </w:tc>
      </w:tr>
      <w:tr>
        <w:tc>
          <w:tcPr/>
          <w:p>
            <w:pPr>
              <w:pStyle w:val="Compact"/>
              <w:jc w:val="left"/>
            </w:pPr>
            <w:r>
              <w:t xml:space="preserve">7</w:t>
            </w:r>
          </w:p>
        </w:tc>
        <w:tc>
          <w:tcPr/>
          <w:p>
            <w:pPr>
              <w:pStyle w:val="Compact"/>
              <w:jc w:val="left"/>
            </w:pPr>
            <w:r>
              <w:t xml:space="preserve">As-built documentation and final architectural deliverables, including BIM model (LOD 400), digital archive, and handover package for the building management company in São Paulo.</w:t>
            </w:r>
          </w:p>
        </w:tc>
        <w:tc>
          <w:tcPr/>
          <w:p>
            <w:pPr>
              <w:pStyle w:val="Compact"/>
              <w:jc w:val="left"/>
            </w:pPr>
            <w:r>
              <w:t xml:space="preserve">1</w:t>
            </w:r>
          </w:p>
        </w:tc>
        <w:tc>
          <w:tcPr/>
          <w:p>
            <w:pPr>
              <w:pStyle w:val="Compact"/>
              <w:jc w:val="left"/>
            </w:pPr>
            <w:r>
              <w:t xml:space="preserve">Lot</w:t>
            </w:r>
          </w:p>
        </w:tc>
        <w:tc>
          <w:tcPr/>
          <w:p>
            <w:pPr>
              <w:pStyle w:val="Compact"/>
              <w:jc w:val="left"/>
            </w:pPr>
            <w:r>
              <w:t xml:space="preserve">R$ 78,000.00</w:t>
            </w:r>
          </w:p>
        </w:tc>
        <w:tc>
          <w:tcPr/>
          <w:p>
            <w:pPr>
              <w:pStyle w:val="Compact"/>
              <w:jc w:val="left"/>
            </w:pPr>
            <w:r>
              <w:t xml:space="preserve">R$ 78,000.00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R$ 1,094,000.00</w:t>
            </w:r>
          </w:p>
        </w:tc>
      </w:tr>
      <w:tr>
        <w:tc>
          <w:tcPr/>
          <w:p>
            <w:pPr>
              <w:pStyle w:val="Compact"/>
              <w:jc w:val="left"/>
            </w:pPr>
            <w:r>
              <w:t xml:space="preserve">ICMS (18% — São Paulo State Tax):</w:t>
            </w:r>
          </w:p>
        </w:tc>
        <w:tc>
          <w:tcPr/>
          <w:p>
            <w:pPr>
              <w:pStyle w:val="Compact"/>
              <w:jc w:val="right"/>
            </w:pPr>
            <w:r>
              <w:t xml:space="preserve">R$ 196,920.00</w:t>
            </w:r>
          </w:p>
        </w:tc>
      </w:tr>
      <w:tr>
        <w:tc>
          <w:tcPr/>
          <w:p>
            <w:pPr>
              <w:pStyle w:val="Compact"/>
              <w:jc w:val="left"/>
            </w:pPr>
            <w:r>
              <w:t xml:space="preserve">ISS (5% — São Paulo Municipal Service Tax):</w:t>
            </w:r>
          </w:p>
        </w:tc>
        <w:tc>
          <w:tcPr/>
          <w:p>
            <w:pPr>
              <w:pStyle w:val="Compact"/>
              <w:jc w:val="right"/>
            </w:pPr>
            <w:r>
              <w:t xml:space="preserve">R$ 54,700.00</w:t>
            </w:r>
          </w:p>
        </w:tc>
      </w:tr>
      <w:tr>
        <w:tc>
          <w:tcPr/>
          <w:p>
            <w:pPr>
              <w:pStyle w:val="Compact"/>
              <w:jc w:val="left"/>
            </w:pPr>
            <w:r>
              <w:t xml:space="preserve">Grand Total (BRL):</w:t>
            </w:r>
          </w:p>
        </w:tc>
        <w:tc>
          <w:tcPr/>
          <w:p>
            <w:pPr>
              <w:pStyle w:val="Compact"/>
              <w:jc w:val="right"/>
            </w:pPr>
            <w:r>
              <w:t xml:space="preserve">R$ 1,345,620.00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particularly the Brazilian Civil Code (Código Civil, Lei nº 10.406/2002) and the Consumer Protection Code where applicable. Any disputes shall be resolved by the competent courts of the City of São Paulo, State of São Paulo, Brazil.</w:t>
      </w:r>
    </w:p>
    <w:p>
      <w:pPr>
        <w:numPr>
          <w:ilvl w:val="0"/>
          <w:numId w:val="1001"/>
        </w:numPr>
        <w:pStyle w:val="Compact"/>
      </w:pPr>
      <w:r>
        <w:rPr>
          <w:bCs/>
          <w:b/>
        </w:rPr>
        <w:t xml:space="preserve">Architect Registration:</w:t>
      </w:r>
      <w:r>
        <w:t xml:space="preserve"> </w:t>
      </w:r>
      <w:r>
        <w:t xml:space="preserve">The Architect firm must maintain valid registration with CAU/SP throughout the entire contract period. The lead Architect responsible for this project must hold a minimum of 15 years of professional experience in high-rise residential design in Brazil and must be a registered member of the CAU/SP in good standing.</w:t>
      </w:r>
    </w:p>
    <w:p>
      <w:pPr>
        <w:numPr>
          <w:ilvl w:val="0"/>
          <w:numId w:val="1001"/>
        </w:numPr>
        <w:pStyle w:val="Compact"/>
      </w:pPr>
      <w:r>
        <w:rPr>
          <w:bCs/>
          <w:b/>
        </w:rPr>
        <w:t xml:space="preserve">Intellectual Property:</w:t>
      </w:r>
      <w:r>
        <w:t xml:space="preserve"> </w:t>
      </w:r>
      <w:r>
        <w:t xml:space="preserve">All architectural drawings, BIM models, renderings, and design documents produced under this Purchase Order shall become the exclusive property of Construtora Horizonte Paulista S.A. upon full payment. The Architect retains the right to display the completed project in professional portfolios with prior written consent.</w:t>
      </w:r>
    </w:p>
    <w:p>
      <w:pPr>
        <w:numPr>
          <w:ilvl w:val="0"/>
          <w:numId w:val="1001"/>
        </w:numPr>
        <w:pStyle w:val="Compact"/>
      </w:pPr>
      <w:r>
        <w:rPr>
          <w:bCs/>
          <w:b/>
        </w:rPr>
        <w:t xml:space="preserve">Compliance with São Paulo Regulations:</w:t>
      </w:r>
      <w:r>
        <w:t xml:space="preserve"> </w:t>
      </w:r>
      <w:r>
        <w:t xml:space="preserve">The Architect shall ensure full compliance with the Plano Diretor Estratégico do Município de São Paulo (Lei nº 16.050/2014), the municipal building code, fire safety regulations (Corpo de Bombeiros Militar do Estado de São Paulo), and all applicable ABNT technical standards. Any non-compliance resulting in permit delays or rejections shall be remedied at the Architect's sole cost.</w:t>
      </w:r>
    </w:p>
    <w:p>
      <w:pPr>
        <w:numPr>
          <w:ilvl w:val="0"/>
          <w:numId w:val="1001"/>
        </w:numPr>
        <w:pStyle w:val="Compact"/>
      </w:pPr>
      <w:r>
        <w:rPr>
          <w:bCs/>
          <w:b/>
        </w:rPr>
        <w:t xml:space="preserve">Payment Schedule:</w:t>
      </w:r>
      <w:r>
        <w:t xml:space="preserve"> </w:t>
      </w:r>
      <w:r>
        <w:t xml:space="preserve">Payments shall be made in monthly installments corresponding to the progress of each line item, subject to written acceptance by the Buyer's project manager. Invoices must be issued in BRL and submitted to the Buyer's accounts payable department in São Paulo no later than the 5th business day of the following month.</w:t>
      </w:r>
    </w:p>
    <w:p>
      <w:pPr>
        <w:numPr>
          <w:ilvl w:val="0"/>
          <w:numId w:val="1001"/>
        </w:numPr>
        <w:pStyle w:val="Compact"/>
      </w:pPr>
      <w:r>
        <w:rPr>
          <w:bCs/>
          <w:b/>
        </w:rPr>
        <w:t xml:space="preserve">Confidentiality:</w:t>
      </w:r>
      <w:r>
        <w:t xml:space="preserve"> </w:t>
      </w:r>
      <w:r>
        <w:t xml:space="preserve">The Architect agrees to maintain strict confidentiality regarding all project details, site plans, and proprietary information of the Buyer.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for convenience, the Buyer shall pay for all services rendered up to the termination date. In the event of termination for cause (material breach), the terminating party shall be entitled to damages in accordance with Brazilian law.</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São Paulo metropolitan region, government-mandated work stoppages, or pandemics, provided that the affected party notifies the other within 72 hours.</w:t>
      </w:r>
    </w:p>
    <w:p>
      <w:pPr>
        <w:numPr>
          <w:ilvl w:val="0"/>
          <w:numId w:val="1001"/>
        </w:numPr>
        <w:pStyle w:val="Compact"/>
      </w:pPr>
      <w:r>
        <w:rPr>
          <w:bCs/>
          <w:b/>
        </w:rPr>
        <w:t xml:space="preserve">Insurance:</w:t>
      </w:r>
      <w:r>
        <w:t xml:space="preserve"> </w:t>
      </w:r>
      <w:r>
        <w:t xml:space="preserve">The Architect shall maintain professional liability insurance (Seguro de Responsabilidade Civil Profissional) with a minimum coverage of R$ 5,000,000.00, valid throughout the project duration in Brazil.</w:t>
      </w:r>
    </w:p>
    <w:p>
      <w:pPr>
        <w:numPr>
          <w:ilvl w:val="0"/>
          <w:numId w:val="1001"/>
        </w:numPr>
        <w:pStyle w:val="Compact"/>
      </w:pPr>
      <w:r>
        <w:rPr>
          <w:bCs/>
          <w:b/>
        </w:rPr>
        <w:t xml:space="preserve">Language:</w:t>
      </w:r>
      <w:r>
        <w:t xml:space="preserve"> </w:t>
      </w:r>
      <w:r>
        <w:t xml:space="preserve">All deliverables, correspondence, and documentation under this Purchase Order shall be produced in Portuguese (Brazilian), in accordance with the requirements of the City of São Paulo municipal authorities and CAU/SP.</w:t>
      </w:r>
    </w:p>
    <w:bookmarkEnd w:id="25"/>
    <w:bookmarkStart w:id="26" w:name="acceptance-signatures"/>
    <w:p>
      <w:pPr>
        <w:pStyle w:val="Heading2"/>
      </w:pPr>
      <w:r>
        <w:t xml:space="preserve">4. Acceptance &amp; Signatures</w:t>
      </w:r>
    </w:p>
    <w:p>
      <w:pPr>
        <w:pStyle w:val="FirstParagraph"/>
      </w:pPr>
      <w:r>
        <w:t xml:space="preserve">By signing below, both parties acknowledge and agree to all terms, conditions, and specifications set forth in this Purchase Order for the architectural services to be rendered in São Paulo, State of São Paulo, Brazil.</w:t>
      </w:r>
    </w:p>
    <w:p>
      <w:pPr>
        <w:pStyle w:val="BodyText"/>
      </w:pPr>
      <w:r>
        <w:rPr>
          <w:bCs/>
          <w:b/>
        </w:rPr>
        <w:t xml:space="preserve">For the Buyer:</w:t>
      </w:r>
    </w:p>
    <w:p>
      <w:pPr>
        <w:pStyle w:val="BodyText"/>
      </w:pPr>
      <w:r>
        <w:t xml:space="preserve">Construtora Horizonte Paulista S.A.</w:t>
      </w:r>
    </w:p>
    <w:p>
      <w:pPr>
        <w:pStyle w:val="BodyText"/>
      </w:pPr>
      <w:r>
        <w:rPr>
          <w:bCs/>
          <w:b/>
        </w:rPr>
        <w:t xml:space="preserve">Name:</w:t>
      </w:r>
      <w:r>
        <w:t xml:space="preserve"> </w:t>
      </w:r>
      <w:r>
        <w:t xml:space="preserve">Ricardo Almeida Ferreira</w:t>
      </w:r>
      <w:r>
        <w:br/>
      </w:r>
      <w:r>
        <w:rPr>
          <w:bCs/>
          <w:b/>
        </w:rPr>
        <w:t xml:space="preserve">Title:</w:t>
      </w:r>
      <w:r>
        <w:t xml:space="preserve"> </w:t>
      </w:r>
      <w:r>
        <w:t xml:space="preserve">Director of Procurement</w:t>
      </w:r>
      <w:r>
        <w:br/>
      </w:r>
      <w:r>
        <w:rPr>
          <w:bCs/>
          <w:b/>
        </w:rPr>
        <w:t xml:space="preserve">Date:</w:t>
      </w:r>
      <w:r>
        <w:t xml:space="preserve"> </w:t>
      </w:r>
      <w:r>
        <w:t xml:space="preserve">_______________</w:t>
      </w:r>
    </w:p>
    <w:p>
      <w:pPr>
        <w:pStyle w:val="BodyText"/>
      </w:pPr>
      <w:r>
        <w:rPr>
          <w:bCs/>
          <w:b/>
        </w:rPr>
        <w:t xml:space="preserve">For the Architect / Vendor:</w:t>
      </w:r>
    </w:p>
    <w:p>
      <w:pPr>
        <w:pStyle w:val="BodyText"/>
      </w:pPr>
      <w:r>
        <w:t xml:space="preserve">Estúdio Arquitetura Vasconcelos &amp; Associados Ltda.</w:t>
      </w:r>
    </w:p>
    <w:p>
      <w:pPr>
        <w:pStyle w:val="BodyText"/>
      </w:pPr>
      <w:r>
        <w:rPr>
          <w:bCs/>
          <w:b/>
        </w:rPr>
        <w:t xml:space="preserve">Name:</w:t>
      </w:r>
      <w:r>
        <w:t xml:space="preserve"> </w:t>
      </w:r>
      <w:r>
        <w:t xml:space="preserve">Dra. Helena Vasconcelos</w:t>
      </w:r>
      <w:r>
        <w:br/>
      </w:r>
      <w:r>
        <w:rPr>
          <w:bCs/>
          <w:b/>
        </w:rPr>
        <w:t xml:space="preserve">Title:</w:t>
      </w:r>
      <w:r>
        <w:t xml:space="preserve"> </w:t>
      </w:r>
      <w:r>
        <w:t xml:space="preserve">Lead Architect — CAU/SP A-4567-8901-SP</w:t>
      </w:r>
      <w:r>
        <w:br/>
      </w:r>
      <w:r>
        <w:rPr>
          <w:bCs/>
          <w:b/>
        </w:rPr>
        <w:t xml:space="preserve">Date:</w:t>
      </w:r>
      <w:r>
        <w:t xml:space="preserve"> </w:t>
      </w:r>
      <w:r>
        <w:t xml:space="preserve">_______________</w:t>
      </w:r>
    </w:p>
    <w:p>
      <w:pPr>
        <w:pStyle w:val="BodyText"/>
      </w:pPr>
      <w:r>
        <w:t xml:space="preserve">Purchase Order PO-2025-SP-00487 — Issued in São Paulo, SP, Brazil — 14 June 2025</w:t>
      </w:r>
    </w:p>
    <w:p>
      <w:pPr>
        <w:pStyle w:val="BodyText"/>
      </w:pPr>
      <w:r>
        <w:t xml:space="preserve">This document is valid only when signed by both parties. Unauthorized reproduction is prohibited under Brazilian Law nº 9.610/1998.</w:t>
      </w:r>
    </w:p>
    <w:p>
      <w:pPr>
        <w:pStyle w:val="BodyText"/>
      </w:pPr>
      <w:r>
        <w:t xml:space="preserve">Construtora Horizonte Paulista S.A. — Av. Paulista, 1578, São Paulo, SP, 01310-300, Brazil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Architectural Services - São Paulo, Brazil</dc:title>
  <dc:creator/>
  <dc:language>en</dc:language>
  <cp:keywords/>
  <dcterms:created xsi:type="dcterms:W3CDTF">2026-10-10T07:35:01Z</dcterms:created>
  <dcterms:modified xsi:type="dcterms:W3CDTF">2026-10-10T07:35:01Z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