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Architect Services – Residential and Commercial Design Project</w:t>
      </w:r>
    </w:p>
    <w:p>
      <w:pPr>
        <w:pStyle w:val="BodyText"/>
      </w:pPr>
      <w:r>
        <w:t xml:space="preserve">Issued in Colombia Bogotá, Cundinamarca</w:t>
      </w:r>
    </w:p>
    <w:bookmarkEnd w:id="20"/>
    <w:p>
      <w:pPr>
        <w:pStyle w:val="BodyText"/>
      </w:pPr>
      <w:r>
        <w:rPr>
          <w:bCs/>
          <w:b/>
        </w:rPr>
        <w:t xml:space="preserve">Purchase Order No.:</w:t>
      </w:r>
      <w:r>
        <w:t xml:space="preserve"> </w:t>
      </w:r>
      <w:r>
        <w:t xml:space="preserve">PO-BGA-2025-0487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Location:</w:t>
      </w:r>
      <w:r>
        <w:t xml:space="preserve"> </w:t>
      </w:r>
      <w:r>
        <w:t xml:space="preserve">Calle 93 #15-42, Zona Rosa</w:t>
      </w:r>
      <w:r>
        <w:br/>
      </w:r>
      <w:r>
        <w:rPr>
          <w:bCs/>
          <w:b/>
        </w:rPr>
        <w:t xml:space="preserve">City:</w:t>
      </w:r>
      <w:r>
        <w:t xml:space="preserve"> </w:t>
      </w:r>
      <w:r>
        <w:t xml:space="preserve">Colombia Bogotá</w:t>
      </w:r>
      <w:r>
        <w:br/>
      </w:r>
      <w:r>
        <w:rPr>
          <w:bCs/>
          <w:b/>
        </w:rPr>
        <w:t xml:space="preserve">Department:</w:t>
      </w:r>
      <w:r>
        <w:t xml:space="preserve"> </w:t>
      </w:r>
      <w:r>
        <w:t xml:space="preserve">Cundinamarca, Colombia</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(Client)</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Inversiones del Norte S.A.S.</w:t>
            </w:r>
            <w:r>
              <w:br/>
            </w:r>
            <w:r>
              <w:rPr>
                <w:bCs/>
                <w:b/>
              </w:rPr>
              <w:t xml:space="preserve">NIT:</w:t>
            </w:r>
            <w:r>
              <w:t xml:space="preserve"> </w:t>
            </w:r>
            <w:r>
              <w:t xml:space="preserve">901.234.567-8</w:t>
            </w:r>
            <w:r>
              <w:br/>
            </w:r>
            <w:r>
              <w:rPr>
                <w:bCs/>
                <w:b/>
              </w:rPr>
              <w:t xml:space="preserve">Address:</w:t>
            </w:r>
            <w:r>
              <w:t xml:space="preserve"> </w:t>
            </w:r>
            <w:r>
              <w:t xml:space="preserve">Av. El Poblado #45A-22, Colombia Bogotá</w:t>
            </w:r>
            <w:r>
              <w:br/>
            </w:r>
            <w:r>
              <w:rPr>
                <w:bCs/>
                <w:b/>
              </w:rPr>
              <w:t xml:space="preserve">Contact:</w:t>
            </w:r>
            <w:r>
              <w:t xml:space="preserve"> </w:t>
            </w:r>
            <w:r>
              <w:t xml:space="preserve">Carlos Mendoza, Director</w:t>
            </w:r>
            <w:r>
              <w:br/>
            </w:r>
            <w:r>
              <w:rPr>
                <w:bCs/>
                <w:b/>
              </w:rPr>
              <w:t xml:space="preserve">Email:</w:t>
            </w:r>
            <w:r>
              <w:t xml:space="preserve"> </w:t>
            </w:r>
            <w:r>
              <w:t xml:space="preserve">c.mendoza@inversionesnorte.co</w:t>
            </w:r>
            <w:r>
              <w:br/>
            </w:r>
            <w:r>
              <w:rPr>
                <w:bCs/>
                <w:b/>
              </w:rPr>
              <w:t xml:space="preserve">Phone:</w:t>
            </w:r>
            <w:r>
              <w:t xml:space="preserve"> </w:t>
            </w:r>
            <w:r>
              <w:t xml:space="preserve">+57 (601) 555 7842</w:t>
            </w:r>
          </w:p>
        </w:tc>
        <w:tc>
          <w:tcPr/>
          <w:p>
            <w:pPr>
              <w:pStyle w:val="Compact"/>
              <w:jc w:val="left"/>
            </w:pPr>
            <w:r>
              <w:rPr>
                <w:bCs/>
                <w:b/>
              </w:rPr>
              <w:t xml:space="preserve">Company:</w:t>
            </w:r>
            <w:r>
              <w:t xml:space="preserve"> </w:t>
            </w:r>
            <w:r>
              <w:t xml:space="preserve">Estudio Arquitectónico Vega &amp; Asociados Ltda.</w:t>
            </w:r>
            <w:r>
              <w:br/>
            </w:r>
            <w:r>
              <w:rPr>
                <w:bCs/>
                <w:b/>
              </w:rPr>
              <w:t xml:space="preserve">NIT:</w:t>
            </w:r>
            <w:r>
              <w:t xml:space="preserve"> </w:t>
            </w:r>
            <w:r>
              <w:t xml:space="preserve">900.876.543-1</w:t>
            </w:r>
            <w:r>
              <w:br/>
            </w:r>
            <w:r>
              <w:rPr>
                <w:bCs/>
                <w:b/>
              </w:rPr>
              <w:t xml:space="preserve">Address:</w:t>
            </w:r>
            <w:r>
              <w:t xml:space="preserve"> </w:t>
            </w:r>
            <w:r>
              <w:t xml:space="preserve">Cra. 15 #85-30, Of. 402, Colombia Bogotá</w:t>
            </w:r>
            <w:r>
              <w:br/>
            </w:r>
            <w:r>
              <w:rPr>
                <w:bCs/>
                <w:b/>
              </w:rPr>
              <w:t xml:space="preserve">Contact:</w:t>
            </w:r>
            <w:r>
              <w:t xml:space="preserve"> </w:t>
            </w:r>
            <w:r>
              <w:t xml:space="preserve">Arq. Valentina Vega, Lead Architect</w:t>
            </w:r>
            <w:r>
              <w:br/>
            </w:r>
            <w:r>
              <w:rPr>
                <w:bCs/>
                <w:b/>
              </w:rPr>
              <w:t xml:space="preserve">Email:</w:t>
            </w:r>
            <w:r>
              <w:t xml:space="preserve"> </w:t>
            </w:r>
            <w:r>
              <w:t xml:space="preserve">v.vega@estudiovega.co</w:t>
            </w:r>
            <w:r>
              <w:br/>
            </w:r>
            <w:r>
              <w:rPr>
                <w:bCs/>
                <w:b/>
              </w:rPr>
              <w:t xml:space="preserve">Phone:</w:t>
            </w:r>
            <w:r>
              <w:t xml:space="preserve"> </w:t>
            </w:r>
            <w:r>
              <w:t xml:space="preserve">+57 (601) 555 3319</w:t>
            </w:r>
          </w:p>
        </w:tc>
      </w:tr>
    </w:tbl>
    <w:p>
      <w:pPr>
        <w:pStyle w:val="BodyText"/>
      </w:pPr>
      <w:r>
        <w:t xml:space="preserve">2. SCOPE OF SERVICES – ARCHITECT ENGAGEMENT</w:t>
      </w:r>
    </w:p>
    <w:p>
      <w:pPr>
        <w:pStyle w:val="BodyText"/>
      </w:pPr>
      <w:r>
        <w:t xml:space="preserve">This Purchase Order authorizes the engagement of a licensed</w:t>
      </w:r>
      <w:r>
        <w:t xml:space="preserve"> </w:t>
      </w:r>
      <w:r>
        <w:t xml:space="preserve">Architect</w:t>
      </w:r>
      <w:r>
        <w:t xml:space="preserve"> </w:t>
      </w:r>
      <w:r>
        <w:t xml:space="preserve">and their professional team to deliver comprehensive architectural design, planning, and project management services for a mixed-use residential and commercial development located in the Zona Rosa district of</w:t>
      </w:r>
      <w:r>
        <w:t xml:space="preserve"> </w:t>
      </w:r>
      <w:r>
        <w:t xml:space="preserve">Colombia Bogotá</w:t>
      </w:r>
      <w:r>
        <w:t xml:space="preserve">. The</w:t>
      </w:r>
      <w:r>
        <w:t xml:space="preserve"> </w:t>
      </w:r>
      <w:r>
        <w:t xml:space="preserve">Architect</w:t>
      </w:r>
      <w:r>
        <w:t xml:space="preserve"> </w:t>
      </w:r>
      <w:r>
        <w:t xml:space="preserve">shall be responsible for producing all preliminary and final design documents, structural coordination drawings, interior design concepts, and full compliance with the municipal building regulations (Código de Construcción) enforced by the Secretaría de Planeación Distrital of Colombia Bogotá.</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Architect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Feasibility study and site analysis for the 1,200 m² lot in Colombia Bogotá, including topographic survey review and zoning compliance assessment per local ordinances.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Preliminary architectural design (concept phase): massing studies, floor plans, elevations, and 3D renderings for a 6-story mixed-use building. Delivered in Revit and PDF formats.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Detailed architectural design (development phase): complete construction drawings, structural coordination with engineers, MEP coordination, and material specifications.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04</w:t>
            </w:r>
          </w:p>
        </w:tc>
        <w:tc>
          <w:tcPr/>
          <w:p>
            <w:pPr>
              <w:pStyle w:val="Compact"/>
              <w:jc w:val="left"/>
            </w:pPr>
            <w:r>
              <w:t xml:space="preserve">Permit application support: preparation and submission of all documentation required by the Curaduría Urbana de Colombia Bogotá, including response to municipal review comments (up to 3 revision cycles).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Construction-phase architectural supervision: bi-weekly site visits, progress reports, and coordination with the general contractor for the full 14-month construction period in Colombia Bogotá.</w:t>
            </w:r>
          </w:p>
        </w:tc>
        <w:tc>
          <w:tcPr/>
          <w:p>
            <w:pPr>
              <w:pStyle w:val="Compact"/>
              <w:jc w:val="left"/>
            </w:pPr>
            <w:r>
              <w:t xml:space="preserve">14</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119,000,000</w:t>
            </w:r>
          </w:p>
        </w:tc>
      </w:tr>
      <w:tr>
        <w:tc>
          <w:tcPr/>
          <w:p>
            <w:pPr>
              <w:pStyle w:val="Compact"/>
              <w:jc w:val="left"/>
            </w:pPr>
            <w:r>
              <w:t xml:space="preserve">06</w:t>
            </w:r>
          </w:p>
        </w:tc>
        <w:tc>
          <w:tcPr/>
          <w:p>
            <w:pPr>
              <w:pStyle w:val="Compact"/>
              <w:jc w:val="left"/>
            </w:pPr>
            <w:r>
              <w:t xml:space="preserve">Interior design concept for 48 residential units and 12 commercial spaces, including furniture layout, lighting plans, and finishes schedule.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07</w:t>
            </w:r>
          </w:p>
        </w:tc>
        <w:tc>
          <w:tcPr/>
          <w:p>
            <w:pPr>
              <w:pStyle w:val="Compact"/>
              <w:jc w:val="left"/>
            </w:pPr>
            <w:r>
              <w:t xml:space="preserve">As-built documentation and final handover package: updated drawings reflecting all field modifications, operation manuals, and warranty documentation.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301,000,000</w:t>
            </w:r>
          </w:p>
        </w:tc>
      </w:tr>
      <w:tr>
        <w:tc>
          <w:tcPr>
            <w:gridSpan w:val="5"/>
          </w:tcPr>
          <w:p>
            <w:pPr>
              <w:pStyle w:val="Compact"/>
              <w:jc w:val="right"/>
            </w:pPr>
            <w:r>
              <w:t xml:space="preserve">IVA (19% VAT – Colombia)</w:t>
            </w:r>
          </w:p>
        </w:tc>
        <w:tc>
          <w:tcPr/>
          <w:p>
            <w:pPr>
              <w:pStyle w:val="Compact"/>
              <w:jc w:val="left"/>
            </w:pPr>
            <w:r>
              <w:t xml:space="preserve">57,190,000</w:t>
            </w:r>
          </w:p>
        </w:tc>
      </w:tr>
      <w:tr>
        <w:tc>
          <w:tcPr>
            <w:gridSpan w:val="5"/>
          </w:tcPr>
          <w:p>
            <w:pPr>
              <w:pStyle w:val="Compact"/>
              <w:jc w:val="right"/>
            </w:pPr>
            <w:r>
              <w:t xml:space="preserve">GRAND TOTAL (COP)</w:t>
            </w:r>
          </w:p>
        </w:tc>
        <w:tc>
          <w:tcPr/>
          <w:p>
            <w:pPr>
              <w:pStyle w:val="Compact"/>
              <w:jc w:val="left"/>
            </w:pPr>
            <w:r>
              <w:t xml:space="preserve">358,190,000</w:t>
            </w:r>
          </w:p>
        </w:tc>
      </w:tr>
    </w:tbl>
    <w:p>
      <w:pPr>
        <w:pStyle w:val="BodyText"/>
      </w:pPr>
      <w:r>
        <w:t xml:space="preserve">4. PAYMENT TERMS</w:t>
      </w:r>
    </w:p>
    <w:p>
      <w:pPr>
        <w:numPr>
          <w:ilvl w:val="0"/>
          <w:numId w:val="1001"/>
        </w:numPr>
        <w:pStyle w:val="Compact"/>
      </w:pPr>
      <w:r>
        <w:rPr>
          <w:bCs/>
          <w:b/>
        </w:rPr>
        <w:t xml:space="preserve">Advance Payment (30%):</w:t>
      </w:r>
      <w:r>
        <w:t xml:space="preserve"> </w:t>
      </w:r>
      <w:r>
        <w:t xml:space="preserve">COP 107,457,000 due within 10 business days of Purchase Order acceptance, to be deposited into the Architect's designated bank account in Colombia Bogotá.</w:t>
      </w:r>
    </w:p>
    <w:p>
      <w:pPr>
        <w:numPr>
          <w:ilvl w:val="0"/>
          <w:numId w:val="1001"/>
        </w:numPr>
        <w:pStyle w:val="Compact"/>
      </w:pPr>
      <w:r>
        <w:rPr>
          <w:bCs/>
          <w:b/>
        </w:rPr>
        <w:t xml:space="preserve">Milestone Payments (50%):</w:t>
      </w:r>
      <w:r>
        <w:t xml:space="preserve"> </w:t>
      </w:r>
      <w:r>
        <w:t xml:space="preserve">Disbursed in four equal installments of COP 44,757,500 upon completion and written approval of each major design phase (Feasibility, Concept, Development, and Permit Submission).</w:t>
      </w:r>
    </w:p>
    <w:p>
      <w:pPr>
        <w:numPr>
          <w:ilvl w:val="0"/>
          <w:numId w:val="1001"/>
        </w:numPr>
        <w:pStyle w:val="Compact"/>
      </w:pPr>
      <w:r>
        <w:rPr>
          <w:bCs/>
          <w:b/>
        </w:rPr>
        <w:t xml:space="preserve">Retention (20%):</w:t>
      </w:r>
      <w:r>
        <w:t xml:space="preserve"> </w:t>
      </w:r>
      <w:r>
        <w:t xml:space="preserve">COP 71,638,000 held until final project completion, as-built delivery, and successful municipal inspection by the authorities of Colombia Bogotá.</w:t>
      </w:r>
    </w:p>
    <w:p>
      <w:pPr>
        <w:numPr>
          <w:ilvl w:val="0"/>
          <w:numId w:val="1001"/>
        </w:numPr>
        <w:pStyle w:val="Compact"/>
      </w:pPr>
      <w:r>
        <w:t xml:space="preserve">All payments shall be made via bank transfer (transferencia electrónica) to the account specified in the Architect's commercial invoice. Late payments shall accrue interest at the maximum rate permitted under Colombian commercial law (Ley 1116 de 2006).</w:t>
      </w:r>
    </w:p>
    <w:p>
      <w:pPr>
        <w:pStyle w:val="FirstParagraph"/>
      </w:pPr>
      <w:r>
        <w:t xml:space="preserve">5. TERMS AND CONDITIONS</w:t>
      </w:r>
    </w:p>
    <w:p>
      <w:pPr>
        <w:numPr>
          <w:ilvl w:val="0"/>
          <w:numId w:val="1002"/>
        </w:numPr>
        <w:pStyle w:val="Compact"/>
      </w:pPr>
      <w:r>
        <w:t xml:space="preserve">This Purchase Order is governed by the commercial code of the Republic of Colombia and applicable regulations of Colombia Bogotá. Any disputes shall be resolved through arbitration before the Cámara de Comercio de Bogotá.</w:t>
      </w:r>
    </w:p>
    <w:p>
      <w:pPr>
        <w:numPr>
          <w:ilvl w:val="0"/>
          <w:numId w:val="1002"/>
        </w:numPr>
        <w:pStyle w:val="Compact"/>
      </w:pPr>
      <w:r>
        <w:t xml:space="preserve">The Architect warrants that all design deliverables shall comply with the current Código de Construcción, the Plan de Ordenamiento Territorial (POT) of Colombia Bogotá, and all applicable environmental and accessibility regulations (Ley 1618 de 2013).</w:t>
      </w:r>
    </w:p>
    <w:p>
      <w:pPr>
        <w:numPr>
          <w:ilvl w:val="0"/>
          <w:numId w:val="1002"/>
        </w:numPr>
        <w:pStyle w:val="Compact"/>
      </w:pPr>
      <w:r>
        <w:t xml:space="preserve">The Architect shall maintain professional liability insurance (seguro de responsabilidad civil profesional) with a minimum coverage of COP 500,000,000 for the duration of the project.</w:t>
      </w:r>
    </w:p>
    <w:p>
      <w:pPr>
        <w:numPr>
          <w:ilvl w:val="0"/>
          <w:numId w:val="1002"/>
        </w:numPr>
        <w:pStyle w:val="Compact"/>
      </w:pPr>
      <w:r>
        <w:t xml:space="preserve">Intellectual property of all design documents, drawings, and 3D models produced under this Purchase Order shall transfer to the Buyer upon full payment. The Architect retains the right to display the project in their professional portfolio with prior written consent.</w:t>
      </w:r>
    </w:p>
    <w:p>
      <w:pPr>
        <w:numPr>
          <w:ilvl w:val="0"/>
          <w:numId w:val="1002"/>
        </w:numPr>
        <w:pStyle w:val="Compact"/>
      </w:pPr>
      <w:r>
        <w:t xml:space="preserve">Either party may terminate this Purchase Order with 30 days' written notice. In the event of termination, the Architect shall be compensated for all work completed and documented up to the termination date.</w:t>
      </w:r>
    </w:p>
    <w:p>
      <w:pPr>
        <w:numPr>
          <w:ilvl w:val="0"/>
          <w:numId w:val="1002"/>
        </w:numPr>
        <w:pStyle w:val="Compact"/>
      </w:pPr>
      <w:r>
        <w:t xml:space="preserve">The Architect shall provide a minimum of 5 business days' notice before any site visit in Colombia Bogotá and shall submit weekly progress reports in Spanish and English.</w:t>
      </w:r>
    </w:p>
    <w:p>
      <w:pPr>
        <w:numPr>
          <w:ilvl w:val="0"/>
          <w:numId w:val="1002"/>
        </w:numPr>
        <w:pStyle w:val="Compact"/>
      </w:pPr>
      <w:r>
        <w:t xml:space="preserve">Force majeure events, including but not limited to natural disasters affecting Colombia Bogotá, shall suspend obligations without penalty for a period not exceeding 60 days.</w:t>
      </w:r>
    </w:p>
    <w:p>
      <w:pPr>
        <w:pStyle w:val="FirstParagraph"/>
      </w:pPr>
      <w:r>
        <w:t xml:space="preserve">6.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Feasibility Study</w:t>
            </w:r>
          </w:p>
        </w:tc>
        <w:tc>
          <w:tcPr/>
          <w:p>
            <w:pPr>
              <w:pStyle w:val="Compact"/>
              <w:jc w:val="left"/>
            </w:pPr>
            <w:r>
              <w:t xml:space="preserve">Report + Site Analysis</w:t>
            </w:r>
          </w:p>
        </w:tc>
        <w:tc>
          <w:tcPr/>
          <w:p>
            <w:pPr>
              <w:pStyle w:val="Compact"/>
              <w:jc w:val="left"/>
            </w:pPr>
            <w:r>
              <w:t xml:space="preserve">July 15, 2025</w:t>
            </w:r>
          </w:p>
        </w:tc>
      </w:tr>
      <w:tr>
        <w:tc>
          <w:tcPr/>
          <w:p>
            <w:pPr>
              <w:pStyle w:val="Compact"/>
              <w:jc w:val="left"/>
            </w:pPr>
            <w:r>
              <w:t xml:space="preserve">Concept Design</w:t>
            </w:r>
          </w:p>
        </w:tc>
        <w:tc>
          <w:tcPr/>
          <w:p>
            <w:pPr>
              <w:pStyle w:val="Compact"/>
              <w:jc w:val="left"/>
            </w:pPr>
            <w:r>
              <w:t xml:space="preserve">Drawings + 3D Renderings</w:t>
            </w:r>
          </w:p>
        </w:tc>
        <w:tc>
          <w:tcPr/>
          <w:p>
            <w:pPr>
              <w:pStyle w:val="Compact"/>
              <w:jc w:val="left"/>
            </w:pPr>
            <w:r>
              <w:t xml:space="preserve">September 30, 2025</w:t>
            </w:r>
          </w:p>
        </w:tc>
      </w:tr>
      <w:tr>
        <w:tc>
          <w:tcPr/>
          <w:p>
            <w:pPr>
              <w:pStyle w:val="Compact"/>
              <w:jc w:val="left"/>
            </w:pPr>
            <w:r>
              <w:t xml:space="preserve">Development Design</w:t>
            </w:r>
          </w:p>
        </w:tc>
        <w:tc>
          <w:tcPr/>
          <w:p>
            <w:pPr>
              <w:pStyle w:val="Compact"/>
              <w:jc w:val="left"/>
            </w:pPr>
            <w:r>
              <w:t xml:space="preserve">Full Construction Set</w:t>
            </w:r>
          </w:p>
        </w:tc>
        <w:tc>
          <w:tcPr/>
          <w:p>
            <w:pPr>
              <w:pStyle w:val="Compact"/>
              <w:jc w:val="left"/>
            </w:pPr>
            <w:r>
              <w:t xml:space="preserve">December 15, 2025</w:t>
            </w:r>
          </w:p>
        </w:tc>
      </w:tr>
      <w:tr>
        <w:tc>
          <w:tcPr/>
          <w:p>
            <w:pPr>
              <w:pStyle w:val="Compact"/>
              <w:jc w:val="left"/>
            </w:pPr>
            <w:r>
              <w:t xml:space="preserve">Permit Submission</w:t>
            </w:r>
          </w:p>
        </w:tc>
        <w:tc>
          <w:tcPr/>
          <w:p>
            <w:pPr>
              <w:pStyle w:val="Compact"/>
              <w:jc w:val="left"/>
            </w:pPr>
            <w:r>
              <w:t xml:space="preserve">Approved License (Colombia Bogotá)</w:t>
            </w:r>
          </w:p>
        </w:tc>
        <w:tc>
          <w:tcPr/>
          <w:p>
            <w:pPr>
              <w:pStyle w:val="Compact"/>
              <w:jc w:val="left"/>
            </w:pPr>
            <w:r>
              <w:t xml:space="preserve">February 28, 2026</w:t>
            </w:r>
          </w:p>
        </w:tc>
      </w:tr>
      <w:tr>
        <w:tc>
          <w:tcPr/>
          <w:p>
            <w:pPr>
              <w:pStyle w:val="Compact"/>
              <w:jc w:val="left"/>
            </w:pPr>
            <w:r>
              <w:t xml:space="preserve">Construction Supervision</w:t>
            </w:r>
          </w:p>
        </w:tc>
        <w:tc>
          <w:tcPr/>
          <w:p>
            <w:pPr>
              <w:pStyle w:val="Compact"/>
              <w:jc w:val="left"/>
            </w:pPr>
            <w:r>
              <w:t xml:space="preserve">Bi-weekly Reports (14 months)</w:t>
            </w:r>
          </w:p>
        </w:tc>
        <w:tc>
          <w:tcPr/>
          <w:p>
            <w:pPr>
              <w:pStyle w:val="Compact"/>
              <w:jc w:val="left"/>
            </w:pPr>
            <w:r>
              <w:t xml:space="preserve">March 2026 – April 2027</w:t>
            </w:r>
          </w:p>
        </w:tc>
      </w:tr>
      <w:tr>
        <w:tc>
          <w:tcPr/>
          <w:p>
            <w:pPr>
              <w:pStyle w:val="Compact"/>
              <w:jc w:val="left"/>
            </w:pPr>
            <w:r>
              <w:t xml:space="preserve">Final Handover</w:t>
            </w:r>
          </w:p>
        </w:tc>
        <w:tc>
          <w:tcPr/>
          <w:p>
            <w:pPr>
              <w:pStyle w:val="Compact"/>
              <w:jc w:val="left"/>
            </w:pPr>
            <w:r>
              <w:t xml:space="preserve">As-Built Package + Manuals</w:t>
            </w:r>
          </w:p>
        </w:tc>
        <w:tc>
          <w:tcPr/>
          <w:p>
            <w:pPr>
              <w:pStyle w:val="Compact"/>
              <w:jc w:val="left"/>
            </w:pPr>
            <w:r>
              <w:t xml:space="preserve">May 31, 2027</w:t>
            </w:r>
          </w:p>
        </w:tc>
      </w:tr>
    </w:tbl>
    <w:p>
      <w:pPr>
        <w:pStyle w:val="BodyText"/>
      </w:pPr>
      <w:r>
        <w:rPr>
          <w:bCs/>
          <w:b/>
        </w:rPr>
        <w:t xml:space="preserve">For the Buyer:</w:t>
      </w:r>
      <w:r>
        <w:br/>
      </w:r>
      <w:r>
        <w:t xml:space="preserve">Inversiones del Norte S.A.S.</w:t>
      </w:r>
    </w:p>
    <w:p>
      <w:pPr>
        <w:pStyle w:val="BodyText"/>
      </w:pPr>
      <w:r>
        <w:t xml:space="preserve">Carlos Mendoza</w:t>
      </w:r>
      <w:r>
        <w:br/>
      </w:r>
      <w:r>
        <w:t xml:space="preserve">Director</w:t>
      </w:r>
      <w:r>
        <w:br/>
      </w:r>
      <w:r>
        <w:t xml:space="preserve">Date: _______________</w:t>
      </w:r>
    </w:p>
    <w:p>
      <w:pPr>
        <w:pStyle w:val="BodyText"/>
      </w:pPr>
      <w:r>
        <w:rPr>
          <w:bCs/>
          <w:b/>
        </w:rPr>
        <w:t xml:space="preserve">For the Seller (Architect):</w:t>
      </w:r>
      <w:r>
        <w:br/>
      </w:r>
      <w:r>
        <w:t xml:space="preserve">Estudio Arquitectónico Vega &amp; Asociados Ltda.</w:t>
      </w:r>
    </w:p>
    <w:p>
      <w:pPr>
        <w:pStyle w:val="BodyText"/>
      </w:pPr>
      <w:r>
        <w:t xml:space="preserve">Arq. Valentina Vega</w:t>
      </w:r>
      <w:r>
        <w:br/>
      </w:r>
      <w:r>
        <w:t xml:space="preserve">Lead Architect</w:t>
      </w:r>
      <w:r>
        <w:br/>
      </w:r>
      <w:r>
        <w:t xml:space="preserve">Date: _______________</w:t>
      </w:r>
    </w:p>
    <w:p>
      <w:pPr>
        <w:pStyle w:val="BodyText"/>
      </w:pPr>
      <w:r>
        <w:t xml:space="preserve">This Purchase Order (PO-BGA-2025-0487) is issued in Colombia Bogotá and constitutes a binding commercial agreement between the parties upon signature. All references to "Colombia Bogotá" denote the city of Bogotá, D.C., and its metropolitan jurisdiction within the Republic of Colombia. The Architect's professional license (Cédula Profesional) is registered with the Colegio Colombiano de Arquitectos – Seccional Bogotá. Document reference: PO-BGA-2025-0487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Colombia Bogotá</dc:title>
  <dc:creator/>
  <dc:language>en</dc:language>
  <cp:keywords/>
  <dcterms:created xsi:type="dcterms:W3CDTF">2026-10-10T03:42:27Z</dcterms:created>
  <dcterms:modified xsi:type="dcterms:W3CDTF">2026-10-10T03:42:27Z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