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7" w:name="purchase-order"/>
    <w:p>
      <w:pPr>
        <w:pStyle w:val="Heading1"/>
      </w:pPr>
      <w:r>
        <w:t xml:space="preserve">PURCHASE ORDER</w:t>
      </w:r>
    </w:p>
    <w:p>
      <w:pPr>
        <w:pStyle w:val="FirstParagraph"/>
      </w:pPr>
      <w:r>
        <w:rPr>
          <w:bCs/>
          <w:b/>
        </w:rPr>
        <w:t xml:space="preserve">Architectural Design &amp; Consulting Services</w:t>
      </w:r>
    </w:p>
    <w:p>
      <w:pPr>
        <w:pStyle w:val="BodyText"/>
      </w:pPr>
      <w:r>
        <w:t xml:space="preserve">Medellín, Colombia</w:t>
      </w:r>
    </w:p>
    <w:p>
      <w:pPr>
        <w:pStyle w:val="BodyText"/>
      </w:pPr>
      <w:r>
        <w:rPr>
          <w:bCs/>
          <w:b/>
        </w:rPr>
        <w:t xml:space="preserve">Purchase Order No.:</w:t>
      </w:r>
      <w:r>
        <w:t xml:space="preserve"> </w:t>
      </w:r>
      <w:r>
        <w:t xml:space="preserve">PO-MDE-2025-04782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Reference:</w:t>
      </w:r>
      <w:r>
        <w:t xml:space="preserve"> </w:t>
      </w:r>
      <w:r>
        <w:t xml:space="preserve">PRJ-MDE-2025-114</w:t>
      </w:r>
    </w:p>
    <w:p>
      <w:pPr>
        <w:pStyle w:val="BodyText"/>
      </w:pPr>
      <w:r>
        <w:rPr>
          <w:bCs/>
          <w:b/>
        </w:rPr>
        <w:t xml:space="preserve">Department:</w:t>
      </w:r>
      <w:r>
        <w:t xml:space="preserve"> </w:t>
      </w:r>
      <w:r>
        <w:t xml:space="preserve">Construction &amp; Development</w:t>
      </w:r>
    </w:p>
    <w:p>
      <w:pPr>
        <w:pStyle w:val="BodyText"/>
      </w:pPr>
      <w:r>
        <w:rPr>
          <w:bCs/>
          <w:b/>
        </w:rPr>
        <w:t xml:space="preserve">Priority:</w:t>
      </w:r>
      <w:r>
        <w:t xml:space="preserve"> </w:t>
      </w:r>
      <w:r>
        <w:t xml:space="preserve">High</w:t>
      </w:r>
    </w:p>
    <w:bookmarkStart w:id="20" w:name="purchasing-entity-buyer"/>
    <w:p>
      <w:pPr>
        <w:pStyle w:val="Heading2"/>
      </w:pPr>
      <w:r>
        <w:t xml:space="preserve">1. Purchasing Entity (Buyer)</w:t>
      </w:r>
    </w:p>
    <w:p>
      <w:pPr>
        <w:pStyle w:val="FirstParagraph"/>
      </w:pPr>
      <w:r>
        <w:rPr>
          <w:bCs/>
          <w:b/>
        </w:rPr>
        <w:t xml:space="preserve">Company Name:</w:t>
      </w:r>
      <w:r>
        <w:t xml:space="preserve"> </w:t>
      </w:r>
      <w:r>
        <w:t xml:space="preserve">Constructora Andina del Valle S.A.S.</w:t>
      </w:r>
    </w:p>
    <w:p>
      <w:pPr>
        <w:pStyle w:val="BodyText"/>
      </w:pPr>
      <w:r>
        <w:rPr>
          <w:bCs/>
          <w:b/>
        </w:rPr>
        <w:t xml:space="preserve">NIT:</w:t>
      </w:r>
      <w:r>
        <w:t xml:space="preserve"> </w:t>
      </w:r>
      <w:r>
        <w:t xml:space="preserve">901.234.567-8</w:t>
      </w:r>
    </w:p>
    <w:p>
      <w:pPr>
        <w:pStyle w:val="BodyText"/>
      </w:pPr>
      <w:r>
        <w:rPr>
          <w:bCs/>
          <w:b/>
        </w:rPr>
        <w:t xml:space="preserve">Address:</w:t>
      </w:r>
      <w:r>
        <w:t xml:space="preserve"> </w:t>
      </w:r>
      <w:r>
        <w:t xml:space="preserve">Calle 43A No. 45D-120, El Poblado, Medellín, Antioquia, Colombia</w:t>
      </w:r>
    </w:p>
    <w:p>
      <w:pPr>
        <w:pStyle w:val="BodyText"/>
      </w:pPr>
      <w:r>
        <w:rPr>
          <w:bCs/>
          <w:b/>
        </w:rPr>
        <w:t xml:space="preserve">Phone:</w:t>
      </w:r>
      <w:r>
        <w:t xml:space="preserve"> </w:t>
      </w:r>
      <w:r>
        <w:t xml:space="preserve">+57 (604) 444 55 66</w:t>
      </w:r>
    </w:p>
    <w:p>
      <w:pPr>
        <w:pStyle w:val="BodyText"/>
      </w:pPr>
      <w:r>
        <w:rPr>
          <w:bCs/>
          <w:b/>
        </w:rPr>
        <w:t xml:space="preserve">Email:</w:t>
      </w:r>
      <w:r>
        <w:t xml:space="preserve"> </w:t>
      </w:r>
      <w:r>
        <w:t xml:space="preserve">procurement@constructoraandina.co</w:t>
      </w:r>
    </w:p>
    <w:p>
      <w:pPr>
        <w:pStyle w:val="BodyText"/>
      </w:pPr>
      <w:r>
        <w:rPr>
          <w:bCs/>
          <w:b/>
        </w:rPr>
        <w:t xml:space="preserve">Authorized Representative:</w:t>
      </w:r>
      <w:r>
        <w:t xml:space="preserve"> </w:t>
      </w:r>
      <w:r>
        <w:t xml:space="preserve">Ing. Carlos Alberto Restrepo Gómez</w:t>
      </w:r>
    </w:p>
    <w:p>
      <w:pPr>
        <w:pStyle w:val="BodyText"/>
      </w:pPr>
      <w:r>
        <w:rPr>
          <w:bCs/>
          <w:b/>
        </w:rPr>
        <w:t xml:space="preserve">Position:</w:t>
      </w:r>
      <w:r>
        <w:t xml:space="preserve"> </w:t>
      </w:r>
      <w:r>
        <w:t xml:space="preserve">Director of Procurement &amp; Supply Chain</w:t>
      </w:r>
    </w:p>
    <w:bookmarkEnd w:id="20"/>
    <w:bookmarkStart w:id="21" w:name="vendor-service-provider-architect"/>
    <w:p>
      <w:pPr>
        <w:pStyle w:val="Heading2"/>
      </w:pPr>
      <w:r>
        <w:t xml:space="preserve">2. Vendor / Service Provider (Architect)</w:t>
      </w:r>
    </w:p>
    <w:p>
      <w:pPr>
        <w:pStyle w:val="FirstParagraph"/>
      </w:pPr>
      <w:r>
        <w:rPr>
          <w:bCs/>
          <w:b/>
        </w:rPr>
        <w:t xml:space="preserve">Professional Name:</w:t>
      </w:r>
      <w:r>
        <w:t xml:space="preserve"> </w:t>
      </w:r>
      <w:r>
        <w:t xml:space="preserve">Arq. Valentina María Ospina Cárdenas</w:t>
      </w:r>
    </w:p>
    <w:p>
      <w:pPr>
        <w:pStyle w:val="BodyText"/>
      </w:pPr>
      <w:r>
        <w:rPr>
          <w:bCs/>
          <w:b/>
        </w:rPr>
        <w:t xml:space="preserve">Professional License No.:</w:t>
      </w:r>
      <w:r>
        <w:t xml:space="preserve"> </w:t>
      </w:r>
      <w:r>
        <w:t xml:space="preserve">12345678 (Cámara de Comercio de Medellín)</w:t>
      </w:r>
    </w:p>
    <w:p>
      <w:pPr>
        <w:pStyle w:val="BodyText"/>
      </w:pPr>
      <w:r>
        <w:rPr>
          <w:bCs/>
          <w:b/>
        </w:rPr>
        <w:t xml:space="preserve">Professional Registration:</w:t>
      </w:r>
      <w:r>
        <w:t xml:space="preserve"> </w:t>
      </w:r>
      <w:r>
        <w:t xml:space="preserve">Registro Nacional de Arquitectos – RN-2019-08842</w:t>
      </w:r>
    </w:p>
    <w:p>
      <w:pPr>
        <w:pStyle w:val="BodyText"/>
      </w:pPr>
      <w:r>
        <w:rPr>
          <w:bCs/>
          <w:b/>
        </w:rPr>
        <w:t xml:space="preserve">Address:</w:t>
      </w:r>
      <w:r>
        <w:t xml:space="preserve"> </w:t>
      </w:r>
      <w:r>
        <w:t xml:space="preserve">Cra. 48A No. 69B-35, Of. 702, Laureles, Medellín, Antioquia, Colombia</w:t>
      </w:r>
    </w:p>
    <w:p>
      <w:pPr>
        <w:pStyle w:val="BodyText"/>
      </w:pPr>
      <w:r>
        <w:rPr>
          <w:bCs/>
          <w:b/>
        </w:rPr>
        <w:t xml:space="preserve">Phone:</w:t>
      </w:r>
      <w:r>
        <w:t xml:space="preserve"> </w:t>
      </w:r>
      <w:r>
        <w:t xml:space="preserve">+57 (604) 333 22 11</w:t>
      </w:r>
    </w:p>
    <w:p>
      <w:pPr>
        <w:pStyle w:val="BodyText"/>
      </w:pPr>
      <w:r>
        <w:rPr>
          <w:bCs/>
          <w:b/>
        </w:rPr>
        <w:t xml:space="preserve">Email:</w:t>
      </w:r>
      <w:r>
        <w:t xml:space="preserve"> </w:t>
      </w:r>
      <w:r>
        <w:t xml:space="preserve">vospina@arquitecturamedellin.co</w:t>
      </w:r>
    </w:p>
    <w:p>
      <w:pPr>
        <w:pStyle w:val="BodyText"/>
      </w:pPr>
      <w:r>
        <w:rPr>
          <w:bCs/>
          <w:b/>
        </w:rPr>
        <w:t xml:space="preserve">Specialization:</w:t>
      </w:r>
      <w:r>
        <w:t xml:space="preserve"> </w:t>
      </w:r>
      <w:r>
        <w:t xml:space="preserve">Residential and Mixed-Use Architectural Design, Sustainable Construction, Urban Planning</w:t>
      </w:r>
    </w:p>
    <w:bookmarkEnd w:id="21"/>
    <w:bookmarkStart w:id="22" w:name="description-of-services-ordered"/>
    <w:p>
      <w:pPr>
        <w:pStyle w:val="Heading2"/>
      </w:pPr>
      <w:r>
        <w:t xml:space="preserve">3. Description of Services Ordered</w:t>
      </w:r>
    </w:p>
    <w:p>
      <w:pPr>
        <w:pStyle w:val="FirstParagraph"/>
      </w:pPr>
      <w:r>
        <w:t xml:space="preserve">This Purchase Order is issued by Constructora Andina del Valle S.A.S. to formally engage the services of the above-named Architect for the comprehensive design, planning, and technical oversight of the</w:t>
      </w:r>
      <w:r>
        <w:t xml:space="preserve"> </w:t>
      </w:r>
      <w:r>
        <w:rPr>
          <w:bCs/>
          <w:b/>
        </w:rPr>
        <w:t xml:space="preserve">Residencial Los Robles</w:t>
      </w:r>
      <w:r>
        <w:t xml:space="preserve"> </w:t>
      </w:r>
      <w:r>
        <w:t xml:space="preserve">mixed-use development project located in the Envigado corridor, Medellín, Antioquia, Colombia. The Architect shall be responsible for the following deliverables and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Architectural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Pre-design feasibility study, site analysis, and conceptual design for the 12-story mixed-use residential tower including 84 apartment units, ground-floor commercial spaces, and structured parking for 96 vehicles.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Development of full architectural design documentation, including floor plans, elevations, sections, 3D renderings, and material specifications compliant with the Código de Construcción de Medellín (Código de Construcción de la Ciudad de Medellín) and national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87,200,000</w:t>
            </w:r>
          </w:p>
        </w:tc>
        <w:tc>
          <w:tcPr/>
          <w:p>
            <w:pPr>
              <w:pStyle w:val="Compact"/>
              <w:jc w:val="left"/>
            </w:pPr>
            <w:r>
              <w:t xml:space="preserve">87,200,000</w:t>
            </w:r>
          </w:p>
        </w:tc>
      </w:tr>
      <w:tr>
        <w:tc>
          <w:tcPr/>
          <w:p>
            <w:pPr>
              <w:pStyle w:val="Compact"/>
              <w:jc w:val="left"/>
            </w:pPr>
            <w:r>
              <w:t xml:space="preserve">03</w:t>
            </w:r>
          </w:p>
        </w:tc>
        <w:tc>
          <w:tcPr/>
          <w:p>
            <w:pPr>
              <w:pStyle w:val="Compact"/>
              <w:jc w:val="left"/>
            </w:pPr>
            <w:r>
              <w:t xml:space="preserve">Preparation and submission of the complete construction permit dossier to the Secretaría de Planeación y Gestión del Territorio de Medellín, including all required technical drawings, structural coordination notes, and environmental impact assessments.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22,800,000</w:t>
            </w:r>
          </w:p>
        </w:tc>
        <w:tc>
          <w:tcPr/>
          <w:p>
            <w:pPr>
              <w:pStyle w:val="Compact"/>
              <w:jc w:val="left"/>
            </w:pPr>
            <w:r>
              <w:t xml:space="preserve">22,800,000</w:t>
            </w:r>
          </w:p>
        </w:tc>
      </w:tr>
      <w:tr>
        <w:tc>
          <w:tcPr/>
          <w:p>
            <w:pPr>
              <w:pStyle w:val="Compact"/>
              <w:jc w:val="left"/>
            </w:pPr>
            <w:r>
              <w:t xml:space="preserve">04</w:t>
            </w:r>
          </w:p>
        </w:tc>
        <w:tc>
          <w:tcPr/>
          <w:p>
            <w:pPr>
              <w:pStyle w:val="Compact"/>
              <w:jc w:val="left"/>
            </w:pPr>
            <w:r>
              <w:t xml:space="preserve">On-site architectural supervision and quality control during the construction phase, including weekly site visits, progress reports, and coordination meetings with the general contractor and structural engineer.</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12,500,000</w:t>
            </w:r>
          </w:p>
        </w:tc>
        <w:tc>
          <w:tcPr/>
          <w:p>
            <w:pPr>
              <w:pStyle w:val="Compact"/>
              <w:jc w:val="left"/>
            </w:pPr>
            <w:r>
              <w:t xml:space="preserve">225,000,000</w:t>
            </w:r>
          </w:p>
        </w:tc>
      </w:tr>
      <w:tr>
        <w:tc>
          <w:tcPr/>
          <w:p>
            <w:pPr>
              <w:pStyle w:val="Compact"/>
              <w:jc w:val="left"/>
            </w:pPr>
            <w:r>
              <w:t xml:space="preserve">05</w:t>
            </w:r>
          </w:p>
        </w:tc>
        <w:tc>
          <w:tcPr/>
          <w:p>
            <w:pPr>
              <w:pStyle w:val="Compact"/>
              <w:jc w:val="left"/>
            </w:pPr>
            <w:r>
              <w:t xml:space="preserve">Final as-built documentation, punch-list resolution, and handover documentation package for the completed Residencial Los Robles project in Medellín.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15,600,000</w:t>
            </w:r>
          </w:p>
        </w:tc>
        <w:tc>
          <w:tcPr/>
          <w:p>
            <w:pPr>
              <w:pStyle w:val="Compact"/>
              <w:jc w:val="left"/>
            </w:pPr>
            <w:r>
              <w:t xml:space="preserve">15,600,000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(COP)</w:t>
            </w:r>
          </w:p>
        </w:tc>
      </w:tr>
      <w:tr>
        <w:tc>
          <w:tcPr/>
          <w:p>
            <w:pPr>
              <w:pStyle w:val="Compact"/>
              <w:jc w:val="left"/>
            </w:pPr>
            <w:r>
              <w:t xml:space="preserve">Subtotal – Architectural Services</w:t>
            </w:r>
          </w:p>
        </w:tc>
        <w:tc>
          <w:tcPr/>
          <w:p>
            <w:pPr>
              <w:pStyle w:val="Compact"/>
              <w:jc w:val="left"/>
            </w:pPr>
            <w:r>
              <w:t xml:space="preserve">399,100,000</w:t>
            </w:r>
          </w:p>
        </w:tc>
      </w:tr>
      <w:tr>
        <w:tc>
          <w:tcPr/>
          <w:p>
            <w:pPr>
              <w:pStyle w:val="Compact"/>
              <w:jc w:val="left"/>
            </w:pPr>
            <w:r>
              <w:t xml:space="preserve">VAT (IVA) – 19% (Colombian Tax Code, Art. 435)</w:t>
            </w:r>
          </w:p>
        </w:tc>
        <w:tc>
          <w:tcPr/>
          <w:p>
            <w:pPr>
              <w:pStyle w:val="Compact"/>
              <w:jc w:val="left"/>
            </w:pPr>
            <w:r>
              <w:t xml:space="preserve">75,829,000</w:t>
            </w:r>
          </w:p>
        </w:tc>
      </w:tr>
      <w:tr>
        <w:tc>
          <w:tcPr/>
          <w:p>
            <w:pPr>
              <w:pStyle w:val="Compact"/>
              <w:jc w:val="left"/>
            </w:pPr>
            <w:r>
              <w:rPr>
                <w:bCs/>
                <w:b/>
              </w:rPr>
              <w:t xml:space="preserve">Grand Total (COP)</w:t>
            </w:r>
          </w:p>
        </w:tc>
        <w:tc>
          <w:tcPr/>
          <w:p>
            <w:pPr>
              <w:pStyle w:val="Compact"/>
              <w:jc w:val="left"/>
            </w:pPr>
            <w:r>
              <w:rPr>
                <w:bCs/>
                <w:b/>
              </w:rPr>
              <w:t xml:space="preserve">474,929,000</w:t>
            </w:r>
          </w:p>
        </w:tc>
      </w:tr>
      <w:tr>
        <w:tc>
          <w:tcPr/>
          <w:p>
            <w:pPr>
              <w:pStyle w:val="Compact"/>
              <w:jc w:val="left"/>
            </w:pPr>
            <w:r>
              <w:rPr>
                <w:bCs/>
                <w:b/>
              </w:rPr>
              <w:t xml:space="preserve">Grand Total (USD – approximate)</w:t>
            </w:r>
          </w:p>
        </w:tc>
        <w:tc>
          <w:tcPr/>
          <w:p>
            <w:pPr>
              <w:pStyle w:val="Compact"/>
              <w:jc w:val="left"/>
            </w:pPr>
            <w:r>
              <w:rPr>
                <w:bCs/>
                <w:b/>
              </w:rPr>
              <w:t xml:space="preserve">USD 118,732.25</w:t>
            </w:r>
          </w:p>
        </w:tc>
      </w:tr>
    </w:tbl>
    <w:bookmarkEnd w:id="23"/>
    <w:bookmarkStart w:id="24" w:name="payment-terms-and-schedule"/>
    <w:p>
      <w:pPr>
        <w:pStyle w:val="Heading2"/>
      </w:pPr>
      <w:r>
        <w:t xml:space="preserve">5. Payment Terms and Schedule</w:t>
      </w:r>
    </w:p>
    <w:p>
      <w:pPr>
        <w:pStyle w:val="FirstParagraph"/>
      </w:pPr>
      <w:r>
        <w:t xml:space="preserve">All payments shall be made in Colombian Pesos (COP) via bank transfer to the Architect's designated account. The payment schedule for this Purchase Order is structured as follows:</w:t>
      </w:r>
    </w:p>
    <w:p>
      <w:pPr>
        <w:numPr>
          <w:ilvl w:val="0"/>
          <w:numId w:val="1001"/>
        </w:numPr>
        <w:pStyle w:val="Compact"/>
      </w:pPr>
      <w:r>
        <w:rPr>
          <w:bCs/>
          <w:b/>
        </w:rPr>
        <w:t xml:space="preserve">Advance Payment (30%):</w:t>
      </w:r>
      <w:r>
        <w:t xml:space="preserve"> </w:t>
      </w:r>
      <w:r>
        <w:t xml:space="preserve">COP 142,478,700 – Due within 10 business days of the signing of this Purchase Order and the Architect's submission of a valid proforma invoice.</w:t>
      </w:r>
    </w:p>
    <w:p>
      <w:pPr>
        <w:numPr>
          <w:ilvl w:val="0"/>
          <w:numId w:val="1001"/>
        </w:numPr>
        <w:pStyle w:val="Compact"/>
      </w:pPr>
      <w:r>
        <w:rPr>
          <w:bCs/>
          <w:b/>
        </w:rPr>
        <w:t xml:space="preserve">Design Completion (25%):</w:t>
      </w:r>
      <w:r>
        <w:t xml:space="preserve"> </w:t>
      </w:r>
      <w:r>
        <w:t xml:space="preserve">COP 118,732,250 – Due upon approval and acceptance of the full architectural design documentation package by the Buyer's technical committee.</w:t>
      </w:r>
    </w:p>
    <w:p>
      <w:pPr>
        <w:numPr>
          <w:ilvl w:val="0"/>
          <w:numId w:val="1001"/>
        </w:numPr>
        <w:pStyle w:val="Compact"/>
      </w:pPr>
      <w:r>
        <w:rPr>
          <w:bCs/>
          <w:b/>
        </w:rPr>
        <w:t xml:space="preserve">Permit Approval (15%):</w:t>
      </w:r>
      <w:r>
        <w:t xml:space="preserve"> </w:t>
      </w:r>
      <w:r>
        <w:t xml:space="preserve">COP 71,239,350 – Due upon receipt of the official construction permit (Licencia de Construcción) issued by the municipal authority in Medellín.</w:t>
      </w:r>
    </w:p>
    <w:p>
      <w:pPr>
        <w:numPr>
          <w:ilvl w:val="0"/>
          <w:numId w:val="1001"/>
        </w:numPr>
        <w:pStyle w:val="Compact"/>
      </w:pPr>
      <w:r>
        <w:rPr>
          <w:bCs/>
          <w:b/>
        </w:rPr>
        <w:t xml:space="preserve">Construction Supervision (20%):</w:t>
      </w:r>
      <w:r>
        <w:t xml:space="preserve"> </w:t>
      </w:r>
      <w:r>
        <w:t xml:space="preserve">COP 94,985,800 – Payable in 18 equal monthly installments of COP 5,277,000 during the active construction phase.</w:t>
      </w:r>
    </w:p>
    <w:p>
      <w:pPr>
        <w:numPr>
          <w:ilvl w:val="0"/>
          <w:numId w:val="1001"/>
        </w:numPr>
        <w:pStyle w:val="Compact"/>
      </w:pPr>
      <w:r>
        <w:rPr>
          <w:bCs/>
          <w:b/>
        </w:rPr>
        <w:t xml:space="preserve">Final Handover (10%):</w:t>
      </w:r>
      <w:r>
        <w:t xml:space="preserve"> </w:t>
      </w:r>
      <w:r>
        <w:t xml:space="preserve">COP 47,492,900 – Due upon completion of the as-built documentation and final project acceptance.</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Commercial Code of Colombia (Código de Comercio) and applicable national and municipal regulations in force in the city of Medellín, Antioquia, Colombia.</w:t>
      </w:r>
    </w:p>
    <w:p>
      <w:pPr>
        <w:numPr>
          <w:ilvl w:val="0"/>
          <w:numId w:val="1002"/>
        </w:numPr>
        <w:pStyle w:val="Compact"/>
      </w:pPr>
      <w:r>
        <w:t xml:space="preserve">The Architect warrants that all professional services rendered under this Purchase Order shall comply with the Colombian National Technical Standards (NTC), the Código de Construcción de Medellín, and all applicable environmental and urban planning regulations of the Alcaldía de Medellín.</w:t>
      </w:r>
    </w:p>
    <w:p>
      <w:pPr>
        <w:numPr>
          <w:ilvl w:val="0"/>
          <w:numId w:val="1002"/>
        </w:numPr>
        <w:pStyle w:val="Compact"/>
      </w:pPr>
      <w:r>
        <w:t xml:space="preserve">The Architect shall maintain professional liability insurance (seguro de responsabilidad civil profesional) with a minimum coverage of COP 500,000,000 for the duration of the engagement.</w:t>
      </w:r>
    </w:p>
    <w:p>
      <w:pPr>
        <w:numPr>
          <w:ilvl w:val="0"/>
          <w:numId w:val="1002"/>
        </w:numPr>
        <w:pStyle w:val="Compact"/>
      </w:pPr>
      <w:r>
        <w:t xml:space="preserve">Any modifications to the scope of work must be documented in a written addendum to this Purchase Order, signed by both parties, prior to the execution of the additional services.</w:t>
      </w:r>
    </w:p>
    <w:p>
      <w:pPr>
        <w:numPr>
          <w:ilvl w:val="0"/>
          <w:numId w:val="1002"/>
        </w:numPr>
        <w:pStyle w:val="Compact"/>
      </w:pPr>
      <w:r>
        <w:t xml:space="preserve">The Architect shall not subcontract any portion of the architectural design work without prior written consent from the Buyer. Supervision support personnel may be assigned at the Architect's discretion.</w:t>
      </w:r>
    </w:p>
    <w:p>
      <w:pPr>
        <w:numPr>
          <w:ilvl w:val="0"/>
          <w:numId w:val="1002"/>
        </w:numPr>
        <w:pStyle w:val="Compact"/>
      </w:pPr>
      <w:r>
        <w:t xml:space="preserve">In the event of a dispute arising from this Purchase Order, both parties agree to first attempt resolution through mediation before the Centro de Conciliación de la Cámara de Comercio de Medellín. If mediation fails, the dispute shall be submitted to the competent civil courts of Medellín, Antioquia, Colombia.</w:t>
      </w:r>
    </w:p>
    <w:p>
      <w:pPr>
        <w:numPr>
          <w:ilvl w:val="0"/>
          <w:numId w:val="1002"/>
        </w:numPr>
        <w:pStyle w:val="Compact"/>
      </w:pPr>
      <w:r>
        <w:t xml:space="preserve">This Purchase Order becomes effective upon signature by both parties and remains valid until the full completion of all deliverables specified herein.</w:t>
      </w:r>
    </w:p>
    <w:p>
      <w:pPr>
        <w:numPr>
          <w:ilvl w:val="0"/>
          <w:numId w:val="1002"/>
        </w:numPr>
        <w:pStyle w:val="Compact"/>
      </w:pPr>
      <w:r>
        <w:t xml:space="preserve">All intellectual property rights in the architectural designs, drawings, and documentation produced under this Purchase Order shall vest in the Buyer upon full payment of the Grand Total.</w:t>
      </w:r>
    </w:p>
    <w:bookmarkEnd w:id="25"/>
    <w:bookmarkStart w:id="26" w:name="acceptance-and-signatures"/>
    <w:p>
      <w:pPr>
        <w:pStyle w:val="Heading2"/>
      </w:pPr>
      <w:r>
        <w:t xml:space="preserve">7. Acceptance and Signatures</w:t>
      </w:r>
    </w:p>
    <w:p>
      <w:pPr>
        <w:pStyle w:val="FirstParagraph"/>
      </w:pPr>
      <w:r>
        <w:t xml:space="preserve">By signing below, both parties acknowledge and agree to all terms, conditions, and obligations set forth in this Purchase Order for the engagement of Architectural Services in Medellín, Colombia.</w:t>
      </w:r>
    </w:p>
    <w:p>
      <w:pPr>
        <w:pStyle w:val="BodyText"/>
      </w:pPr>
      <w:r>
        <w:rPr>
          <w:bCs/>
          <w:b/>
        </w:rPr>
        <w:t xml:space="preserve">FOR THE BUYER:</w:t>
      </w:r>
    </w:p>
    <w:p>
      <w:pPr>
        <w:pStyle w:val="BodyText"/>
      </w:pPr>
      <w:r>
        <w:t xml:space="preserve">Constructora Andina del Valle S.A.S.</w:t>
      </w:r>
    </w:p>
    <w:p>
      <w:pPr>
        <w:pStyle w:val="BodyText"/>
      </w:pPr>
      <w:r>
        <w:t xml:space="preserve">Ing. Carlos Alberto Restrepo Gómez</w:t>
      </w:r>
      <w:r>
        <w:br/>
      </w:r>
      <w:r>
        <w:t xml:space="preserve">Director of Procurement</w:t>
      </w:r>
      <w:r>
        <w:br/>
      </w:r>
      <w:r>
        <w:t xml:space="preserve">Date: _______________</w:t>
      </w:r>
    </w:p>
    <w:p>
      <w:pPr>
        <w:pStyle w:val="BodyText"/>
      </w:pPr>
      <w:r>
        <w:rPr>
          <w:bCs/>
          <w:b/>
        </w:rPr>
        <w:t xml:space="preserve">FOR THE ARCHITECT:</w:t>
      </w:r>
    </w:p>
    <w:p>
      <w:pPr>
        <w:pStyle w:val="BodyText"/>
      </w:pPr>
      <w:r>
        <w:t xml:space="preserve">Arq. Valentina María Ospina Cárdenas</w:t>
      </w:r>
    </w:p>
    <w:p>
      <w:pPr>
        <w:pStyle w:val="BodyText"/>
      </w:pPr>
      <w:r>
        <w:t xml:space="preserve">Arq. Valentina María Ospina Cárdenas</w:t>
      </w:r>
      <w:r>
        <w:br/>
      </w:r>
      <w:r>
        <w:t xml:space="preserve">Licensed Architect – RN-2019-08842</w:t>
      </w:r>
      <w:r>
        <w:br/>
      </w:r>
      <w:r>
        <w:t xml:space="preserve">Date: _______________</w:t>
      </w:r>
    </w:p>
    <w:p>
      <w:pPr>
        <w:pStyle w:val="BodyText"/>
      </w:pPr>
      <w:r>
        <w:rPr>
          <w:bCs/>
          <w:b/>
        </w:rPr>
        <w:t xml:space="preserve">Document Control:</w:t>
      </w:r>
      <w:r>
        <w:t xml:space="preserve"> </w:t>
      </w:r>
      <w:r>
        <w:t xml:space="preserve">This Purchase Order (PO-MDE-2025-04782) was generated by the Procurement Department of Constructora Andina del Valle S.A.S., Medellín, Colombia. This document is valid only when bearing the original signatures of both parties and the company seal. Unauthorized reproduction or modification of this Purchase Order is strictly prohibited. For inquiries, contact procurement@constructoraandina.co or call +57 (604) 444 55 66, Ext. 201.</w:t>
      </w:r>
    </w:p>
    <w:p>
      <w:pPr>
        <w:pStyle w:val="BodyText"/>
      </w:pPr>
      <w:r>
        <w:rPr>
          <w:iCs/>
          <w:i/>
        </w:rPr>
        <w:t xml:space="preserve">Page 1 of 1 | Purchase Order – Architect Services – Medellín, Colombia | PO-MDE-2025-04782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Medellín, Colombia</dc:title>
  <dc:creator/>
  <dc:language>en</dc:language>
  <cp:keywords/>
  <dcterms:created xsi:type="dcterms:W3CDTF">2026-10-10T06:23:40Z</dcterms:created>
  <dcterms:modified xsi:type="dcterms:W3CDTF">2026-10-10T06:23:40Z</dcterms:modified>
</cp:coreProperties>
</file>

<file path=docProps/custom.xml><?xml version="1.0" encoding="utf-8"?>
<Properties xmlns="http://schemas.openxmlformats.org/officeDocument/2006/custom-properties" xmlns:vt="http://schemas.openxmlformats.org/officeDocument/2006/docPropsVTypes"/>
</file>