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purchase-order"/>
    <w:p>
      <w:pPr>
        <w:pStyle w:val="Heading1"/>
      </w:pPr>
      <w:r>
        <w:t xml:space="preserve">PURCHASE ORDER</w:t>
      </w:r>
    </w:p>
    <w:p>
      <w:pPr>
        <w:pStyle w:val="FirstParagraph"/>
      </w:pPr>
      <w:r>
        <w:t xml:space="preserve">Architectural Design &amp; Consulting Services</w:t>
      </w:r>
    </w:p>
    <w:p>
      <w:pPr>
        <w:pStyle w:val="BodyText"/>
      </w:pPr>
      <w:r>
        <w:t xml:space="preserve">Alexandria, Egypt</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PO-EGY-ALX-2025-00472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w:t>
            </w:r>
          </w:p>
        </w:tc>
        <w:tc>
          <w:tcPr/>
          <w:p>
            <w:pPr>
              <w:pStyle w:val="Compact"/>
              <w:jc w:val="left"/>
            </w:pPr>
            <w:r>
              <w:t xml:space="preserve">Currency:</w:t>
            </w:r>
          </w:p>
        </w:tc>
        <w:tc>
          <w:tcPr/>
          <w:p>
            <w:pPr>
              <w:pStyle w:val="Compact"/>
              <w:jc w:val="left"/>
            </w:pPr>
            <w:r>
              <w:t xml:space="preserve">Egyptian Pound (EGP)</w:t>
            </w:r>
          </w:p>
        </w:tc>
      </w:tr>
      <w:tr>
        <w:tc>
          <w:tcPr/>
          <w:p>
            <w:pPr>
              <w:pStyle w:val="Compact"/>
              <w:jc w:val="left"/>
            </w:pPr>
            <w:r>
              <w:t xml:space="preserve">Project Location:</w:t>
            </w:r>
          </w:p>
        </w:tc>
        <w:tc>
          <w:tcPr>
            <w:gridSpan w:val="3"/>
          </w:tcPr>
          <w:p>
            <w:pPr>
              <w:pStyle w:val="Compact"/>
              <w:jc w:val="left"/>
            </w:pPr>
            <w:r>
              <w:t xml:space="preserve">Corniche El-Nil, Alexandria, Egypt</w:t>
            </w:r>
          </w:p>
        </w:tc>
      </w:tr>
    </w:tbl>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Alexandria Coastal Development Group S.A.E.</w:t>
            </w:r>
          </w:p>
        </w:tc>
      </w:tr>
      <w:tr>
        <w:tc>
          <w:tcPr/>
          <w:p>
            <w:pPr>
              <w:pStyle w:val="Compact"/>
              <w:jc w:val="left"/>
            </w:pPr>
            <w:r>
              <w:t xml:space="preserve">Address:</w:t>
            </w:r>
          </w:p>
        </w:tc>
        <w:tc>
          <w:tcPr/>
          <w:p>
            <w:pPr>
              <w:pStyle w:val="Compact"/>
              <w:jc w:val="left"/>
            </w:pPr>
            <w:r>
              <w:t xml:space="preserve">42 El-Montazah Street, Smouha District, Alexandria, Egypt</w:t>
            </w:r>
          </w:p>
        </w:tc>
      </w:tr>
      <w:tr>
        <w:tc>
          <w:tcPr/>
          <w:p>
            <w:pPr>
              <w:pStyle w:val="Compact"/>
              <w:jc w:val="left"/>
            </w:pPr>
            <w:r>
              <w:t xml:space="preserve">Tax Registration No.:</w:t>
            </w:r>
          </w:p>
        </w:tc>
        <w:tc>
          <w:tcPr/>
          <w:p>
            <w:pPr>
              <w:pStyle w:val="Compact"/>
              <w:jc w:val="left"/>
            </w:pPr>
            <w:r>
              <w:t xml:space="preserve">552-881-340-772</w:t>
            </w:r>
          </w:p>
        </w:tc>
      </w:tr>
      <w:tr>
        <w:tc>
          <w:tcPr/>
          <w:p>
            <w:pPr>
              <w:pStyle w:val="Compact"/>
              <w:jc w:val="left"/>
            </w:pPr>
            <w:r>
              <w:t xml:space="preserve">Contact Person:</w:t>
            </w:r>
          </w:p>
        </w:tc>
        <w:tc>
          <w:tcPr/>
          <w:p>
            <w:pPr>
              <w:pStyle w:val="Compact"/>
              <w:jc w:val="left"/>
            </w:pPr>
            <w:r>
              <w:t xml:space="preserve">Eng. Mahmoud El-Sayed, Project Director</w:t>
            </w:r>
          </w:p>
        </w:tc>
      </w:tr>
      <w:tr>
        <w:tc>
          <w:tcPr/>
          <w:p>
            <w:pPr>
              <w:pStyle w:val="Compact"/>
              <w:jc w:val="left"/>
            </w:pPr>
            <w:r>
              <w:t xml:space="preserve">Telephone / Email:</w:t>
            </w:r>
          </w:p>
        </w:tc>
        <w:tc>
          <w:tcPr/>
          <w:p>
            <w:pPr>
              <w:pStyle w:val="Compact"/>
              <w:jc w:val="left"/>
            </w:pPr>
            <w:r>
              <w:t xml:space="preserve">+20 3 482 5567 / procurement@alexcoastaldev.com.eg</w:t>
            </w:r>
          </w:p>
        </w:tc>
      </w:tr>
    </w:tbl>
    <w:p>
      <w:pPr>
        <w:pStyle w:val="BodyText"/>
      </w:pPr>
      <w:r>
        <w:t xml:space="preserve">2. Vendor / Architect (Supplier)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Architect Firm:</w:t>
            </w:r>
          </w:p>
        </w:tc>
        <w:tc>
          <w:tcPr/>
          <w:p>
            <w:pPr>
              <w:pStyle w:val="Compact"/>
              <w:jc w:val="left"/>
            </w:pPr>
            <w:r>
              <w:t xml:space="preserve">Studio El-Pharos Architectural Design &amp; Consulting</w:t>
            </w:r>
          </w:p>
        </w:tc>
      </w:tr>
      <w:tr>
        <w:tc>
          <w:tcPr/>
          <w:p>
            <w:pPr>
              <w:pStyle w:val="Compact"/>
              <w:jc w:val="left"/>
            </w:pPr>
            <w:r>
              <w:t xml:space="preserve">Lead Architect:</w:t>
            </w:r>
          </w:p>
        </w:tc>
        <w:tc>
          <w:tcPr/>
          <w:p>
            <w:pPr>
              <w:pStyle w:val="Compact"/>
              <w:jc w:val="left"/>
            </w:pPr>
            <w:r>
              <w:t xml:space="preserve">Arch. Nourhan Abdel-Rahman, Licensed Architect, Egyptian Syndicate of Engineers, License No. A-2019-4471</w:t>
            </w:r>
          </w:p>
        </w:tc>
      </w:tr>
      <w:tr>
        <w:tc>
          <w:tcPr/>
          <w:p>
            <w:pPr>
              <w:pStyle w:val="Compact"/>
              <w:jc w:val="left"/>
            </w:pPr>
            <w:r>
              <w:t xml:space="preserve">Office Address:</w:t>
            </w:r>
          </w:p>
        </w:tc>
        <w:tc>
          <w:tcPr/>
          <w:p>
            <w:pPr>
              <w:pStyle w:val="Compact"/>
              <w:jc w:val="left"/>
            </w:pPr>
            <w:r>
              <w:t xml:space="preserve">18 El-Attarine Street, Gamet El-Darb District, Alexandria, Egypt</w:t>
            </w:r>
          </w:p>
        </w:tc>
      </w:tr>
      <w:tr>
        <w:tc>
          <w:tcPr/>
          <w:p>
            <w:pPr>
              <w:pStyle w:val="Compact"/>
              <w:jc w:val="left"/>
            </w:pPr>
            <w:r>
              <w:t xml:space="preserve">Tax Registration No.:</w:t>
            </w:r>
          </w:p>
        </w:tc>
        <w:tc>
          <w:tcPr/>
          <w:p>
            <w:pPr>
              <w:pStyle w:val="Compact"/>
              <w:jc w:val="left"/>
            </w:pPr>
            <w:r>
              <w:t xml:space="preserve">771-203-998-115</w:t>
            </w:r>
          </w:p>
        </w:tc>
      </w:tr>
      <w:tr>
        <w:tc>
          <w:tcPr/>
          <w:p>
            <w:pPr>
              <w:pStyle w:val="Compact"/>
              <w:jc w:val="left"/>
            </w:pPr>
            <w:r>
              <w:t xml:space="preserve">Telephone / Email:</w:t>
            </w:r>
          </w:p>
        </w:tc>
        <w:tc>
          <w:tcPr/>
          <w:p>
            <w:pPr>
              <w:pStyle w:val="Compact"/>
              <w:jc w:val="left"/>
            </w:pPr>
            <w:r>
              <w:t xml:space="preserve">+20 3 572 8890 / info@studioelpharos.com.eg</w:t>
            </w:r>
          </w:p>
        </w:tc>
      </w:tr>
    </w:tbl>
    <w:p>
      <w:pPr>
        <w:pStyle w:val="BodyText"/>
      </w:pPr>
      <w:r>
        <w:t xml:space="preserve">3. Description of Architectural Services</w:t>
      </w:r>
    </w:p>
    <w:p>
      <w:pPr>
        <w:pStyle w:val="BodyText"/>
      </w:pPr>
      <w:r>
        <w:t xml:space="preserve">This Purchase Order is issued by Alexandria Coastal Development Group S.A.E. to engage the services of Studio El-Pharos Architectural Design &amp; Consulting, led by the designated Architect, for the comprehensive architectural design, planning, and supervision of the "Pharos Residences" mixed-use development project situated along the Corniche in Alexandria, Egypt. The Architect shall deliver all services in strict compliance with the Egyptian Building Code, Alexandria Governorate Municipal Regulations, and the standards set forth by the Egyptian Syndicate of Engineers.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Feasibility study, site analysis, and conceptual design for the Pharos Residences project (12-storey mixed-use building, Alexandria, Egypt)</w:t>
            </w:r>
          </w:p>
        </w:tc>
        <w:tc>
          <w:tcPr/>
          <w:p>
            <w:pPr>
              <w:pStyle w:val="Compact"/>
              <w:jc w:val="left"/>
            </w:pPr>
            <w:r>
              <w:t xml:space="preserve">6 weeks</w:t>
            </w:r>
          </w:p>
        </w:tc>
        <w:tc>
          <w:tcPr/>
          <w:p>
            <w:pPr>
              <w:pStyle w:val="Compact"/>
              <w:jc w:val="left"/>
            </w:pPr>
            <w:r>
              <w:t xml:space="preserve">Lump Sum</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Preliminary design development, architectural drawings, 3D renderings, and material specifications</w:t>
            </w:r>
          </w:p>
        </w:tc>
        <w:tc>
          <w:tcPr/>
          <w:p>
            <w:pPr>
              <w:pStyle w:val="Compact"/>
              <w:jc w:val="left"/>
            </w:pPr>
            <w:r>
              <w:t xml:space="preserve">8 weeks</w:t>
            </w:r>
          </w:p>
        </w:tc>
        <w:tc>
          <w:tcPr/>
          <w:p>
            <w:pPr>
              <w:pStyle w:val="Compact"/>
              <w:jc w:val="left"/>
            </w:pPr>
            <w:r>
              <w:t xml:space="preserve">Lump Sum</w:t>
            </w:r>
          </w:p>
        </w:tc>
        <w:tc>
          <w:tcPr/>
          <w:p>
            <w:pPr>
              <w:pStyle w:val="Compact"/>
              <w:jc w:val="left"/>
            </w:pPr>
            <w:r>
              <w:t xml:space="preserve">320,000.00</w:t>
            </w:r>
          </w:p>
        </w:tc>
      </w:tr>
      <w:tr>
        <w:tc>
          <w:tcPr/>
          <w:p>
            <w:pPr>
              <w:pStyle w:val="Compact"/>
              <w:jc w:val="left"/>
            </w:pPr>
            <w:r>
              <w:t xml:space="preserve">3</w:t>
            </w:r>
          </w:p>
        </w:tc>
        <w:tc>
          <w:tcPr/>
          <w:p>
            <w:pPr>
              <w:pStyle w:val="Compact"/>
              <w:jc w:val="left"/>
            </w:pPr>
            <w:r>
              <w:t xml:space="preserve">Full construction documentation set (structural, MEP coordination, interior fit-out plans) for submission to Alexandria Municipal Engineering Department</w:t>
            </w:r>
          </w:p>
        </w:tc>
        <w:tc>
          <w:tcPr/>
          <w:p>
            <w:pPr>
              <w:pStyle w:val="Compact"/>
              <w:jc w:val="left"/>
            </w:pPr>
            <w:r>
              <w:t xml:space="preserve">10 weeks</w:t>
            </w:r>
          </w:p>
        </w:tc>
        <w:tc>
          <w:tcPr/>
          <w:p>
            <w:pPr>
              <w:pStyle w:val="Compact"/>
              <w:jc w:val="left"/>
            </w:pPr>
            <w:r>
              <w:t xml:space="preserve">Lump Sum</w:t>
            </w:r>
          </w:p>
        </w:tc>
        <w:tc>
          <w:tcPr/>
          <w:p>
            <w:pPr>
              <w:pStyle w:val="Compact"/>
              <w:jc w:val="left"/>
            </w:pPr>
            <w:r>
              <w:t xml:space="preserve">410,000.00</w:t>
            </w:r>
          </w:p>
        </w:tc>
      </w:tr>
      <w:tr>
        <w:tc>
          <w:tcPr/>
          <w:p>
            <w:pPr>
              <w:pStyle w:val="Compact"/>
              <w:jc w:val="left"/>
            </w:pPr>
            <w:r>
              <w:t xml:space="preserve">4</w:t>
            </w:r>
          </w:p>
        </w:tc>
        <w:tc>
          <w:tcPr/>
          <w:p>
            <w:pPr>
              <w:pStyle w:val="Compact"/>
              <w:jc w:val="left"/>
            </w:pPr>
            <w:r>
              <w:t xml:space="preserve">Permit application support, municipal liaison, and code compliance review with Alexandria Governorate authorities</w:t>
            </w:r>
          </w:p>
        </w:tc>
        <w:tc>
          <w:tcPr/>
          <w:p>
            <w:pPr>
              <w:pStyle w:val="Compact"/>
              <w:jc w:val="left"/>
            </w:pPr>
            <w:r>
              <w:t xml:space="preserve">4 weeks</w:t>
            </w:r>
          </w:p>
        </w:tc>
        <w:tc>
          <w:tcPr/>
          <w:p>
            <w:pPr>
              <w:pStyle w:val="Compact"/>
              <w:jc w:val="left"/>
            </w:pPr>
            <w:r>
              <w:t xml:space="preserve">Lump Sum</w:t>
            </w:r>
          </w:p>
        </w:tc>
        <w:tc>
          <w:tcPr/>
          <w:p>
            <w:pPr>
              <w:pStyle w:val="Compact"/>
              <w:jc w:val="left"/>
            </w:pPr>
            <w:r>
              <w:t xml:space="preserve">95,000.00</w:t>
            </w:r>
          </w:p>
        </w:tc>
      </w:tr>
      <w:tr>
        <w:tc>
          <w:tcPr/>
          <w:p>
            <w:pPr>
              <w:pStyle w:val="Compact"/>
              <w:jc w:val="left"/>
            </w:pPr>
            <w:r>
              <w:t xml:space="preserve">5</w:t>
            </w:r>
          </w:p>
        </w:tc>
        <w:tc>
          <w:tcPr/>
          <w:p>
            <w:pPr>
              <w:pStyle w:val="Compact"/>
              <w:jc w:val="left"/>
            </w:pPr>
            <w:r>
              <w:t xml:space="preserve">Construction-phase architectural supervision, site inspections (minimum 2 visits per week), and progress reporting</w:t>
            </w:r>
          </w:p>
        </w:tc>
        <w:tc>
          <w:tcPr/>
          <w:p>
            <w:pPr>
              <w:pStyle w:val="Compact"/>
              <w:jc w:val="left"/>
            </w:pPr>
            <w:r>
              <w:t xml:space="preserve">18 months</w:t>
            </w:r>
          </w:p>
        </w:tc>
        <w:tc>
          <w:tcPr/>
          <w:p>
            <w:pPr>
              <w:pStyle w:val="Compact"/>
              <w:jc w:val="left"/>
            </w:pPr>
            <w:r>
              <w:t xml:space="preserve">Monthly</w:t>
            </w:r>
          </w:p>
        </w:tc>
        <w:tc>
          <w:tcPr/>
          <w:p>
            <w:pPr>
              <w:pStyle w:val="Compact"/>
              <w:jc w:val="left"/>
            </w:pPr>
            <w:r>
              <w:t xml:space="preserve">1,080,000.00</w:t>
            </w:r>
          </w:p>
        </w:tc>
      </w:tr>
      <w:tr>
        <w:tc>
          <w:tcPr/>
          <w:p>
            <w:pPr>
              <w:pStyle w:val="Compact"/>
              <w:jc w:val="left"/>
            </w:pPr>
            <w:r>
              <w:t xml:space="preserve">6</w:t>
            </w:r>
          </w:p>
        </w:tc>
        <w:tc>
          <w:tcPr/>
          <w:p>
            <w:pPr>
              <w:pStyle w:val="Compact"/>
              <w:jc w:val="left"/>
            </w:pPr>
            <w:r>
              <w:t xml:space="preserve">As-built documentation, final handover drawings, and warranty-period advisory (12 months post-completion)</w:t>
            </w:r>
          </w:p>
        </w:tc>
        <w:tc>
          <w:tcPr/>
          <w:p>
            <w:pPr>
              <w:pStyle w:val="Compact"/>
              <w:jc w:val="left"/>
            </w:pPr>
            <w:r>
              <w:t xml:space="preserve">3 months</w:t>
            </w:r>
          </w:p>
        </w:tc>
        <w:tc>
          <w:tcPr/>
          <w:p>
            <w:pPr>
              <w:pStyle w:val="Compact"/>
              <w:jc w:val="left"/>
            </w:pPr>
            <w:r>
              <w:t xml:space="preserve">Lump Sum</w:t>
            </w:r>
          </w:p>
        </w:tc>
        <w:tc>
          <w:tcPr/>
          <w:p>
            <w:pPr>
              <w:pStyle w:val="Compact"/>
              <w:jc w:val="left"/>
            </w:pPr>
            <w:r>
              <w:t xml:space="preserve">150,000.00</w:t>
            </w:r>
          </w:p>
        </w:tc>
      </w:tr>
      <w:tr>
        <w:tc>
          <w:tcPr>
            <w:gridSpan w:val="4"/>
          </w:tcPr>
          <w:p>
            <w:pPr>
              <w:pStyle w:val="Compact"/>
              <w:jc w:val="right"/>
            </w:pPr>
            <w:r>
              <w:t xml:space="preserve">TOTAL CONTRACT VALUE (EGP):</w:t>
            </w:r>
          </w:p>
        </w:tc>
        <w:tc>
          <w:tcPr/>
          <w:p>
            <w:pPr>
              <w:pStyle w:val="Compact"/>
              <w:jc w:val="left"/>
            </w:pPr>
            <w:r>
              <w:t xml:space="preserve">2,240,000.00</w:t>
            </w:r>
          </w:p>
        </w:tc>
      </w:tr>
      <w:tr>
        <w:tc>
          <w:tcPr>
            <w:gridSpan w:val="4"/>
          </w:tcPr>
          <w:p>
            <w:pPr>
              <w:pStyle w:val="Compact"/>
              <w:jc w:val="right"/>
            </w:pPr>
            <w:r>
              <w:t xml:space="preserve">VAT (14% as per Egyptian Tax Law):</w:t>
            </w:r>
          </w:p>
        </w:tc>
        <w:tc>
          <w:tcPr/>
          <w:p>
            <w:pPr>
              <w:pStyle w:val="Compact"/>
              <w:jc w:val="left"/>
            </w:pPr>
            <w:r>
              <w:t xml:space="preserve">313,600.00</w:t>
            </w:r>
          </w:p>
        </w:tc>
      </w:tr>
      <w:tr>
        <w:tc>
          <w:tcPr>
            <w:gridSpan w:val="4"/>
          </w:tcPr>
          <w:p>
            <w:pPr>
              <w:pStyle w:val="Compact"/>
              <w:jc w:val="right"/>
            </w:pPr>
            <w:r>
              <w:t xml:space="preserve">GRAND TOTAL (EGP):</w:t>
            </w:r>
          </w:p>
        </w:tc>
        <w:tc>
          <w:tcPr/>
          <w:p>
            <w:pPr>
              <w:pStyle w:val="Compact"/>
              <w:jc w:val="left"/>
            </w:pPr>
            <w:r>
              <w:t xml:space="preserve">2,553,600.00</w:t>
            </w:r>
          </w:p>
        </w:tc>
      </w:tr>
    </w:tbl>
    <w:p>
      <w:pPr>
        <w:pStyle w:val="BodyText"/>
      </w:pPr>
      <w:r>
        <w:t xml:space="preserve">4. Payment Terms &amp; Schedule</w:t>
      </w:r>
    </w:p>
    <w:p>
      <w:pPr>
        <w:numPr>
          <w:ilvl w:val="0"/>
          <w:numId w:val="1001"/>
        </w:numPr>
        <w:pStyle w:val="Compact"/>
      </w:pPr>
      <w:r>
        <w:t xml:space="preserve">Advance payment of 15% (EGP 336,000.00) shall be disbursed within 10 business days of the Architect's written acceptance of this Purchase Order and submission of a valid proforma invoice.</w:t>
      </w:r>
    </w:p>
    <w:p>
      <w:pPr>
        <w:numPr>
          <w:ilvl w:val="0"/>
          <w:numId w:val="1001"/>
        </w:numPr>
        <w:pStyle w:val="Compact"/>
      </w:pPr>
      <w:r>
        <w:t xml:space="preserve">Progress payments of 10% per completed milestone (Items 1 through 4) shall be issued within 15 business days of the Architect's submission of certified milestone completion reports approved by the Buyer's Project Director.</w:t>
      </w:r>
    </w:p>
    <w:p>
      <w:pPr>
        <w:numPr>
          <w:ilvl w:val="0"/>
          <w:numId w:val="1001"/>
        </w:numPr>
        <w:pStyle w:val="Compact"/>
      </w:pPr>
      <w:r>
        <w:t xml:space="preserve">Monthly supervision payments (Item 5) shall be paid by the 5th business day of the following month upon receipt of the Architect's monthly site report and timesheet.</w:t>
      </w:r>
    </w:p>
    <w:p>
      <w:pPr>
        <w:numPr>
          <w:ilvl w:val="0"/>
          <w:numId w:val="1001"/>
        </w:numPr>
        <w:pStyle w:val="Compact"/>
      </w:pPr>
      <w:r>
        <w:t xml:space="preserve">The final payment (Item 6) shall be released within 30 days of project handover and acceptance of all as-built documentation by the Alexandria Municipal Engineering Department.</w:t>
      </w:r>
    </w:p>
    <w:p>
      <w:pPr>
        <w:numPr>
          <w:ilvl w:val="0"/>
          <w:numId w:val="1001"/>
        </w:numPr>
        <w:pStyle w:val="Compact"/>
      </w:pPr>
      <w:r>
        <w:t xml:space="preserve">All payments shall be made via bank transfer to the Architect's designated account at National Bank of Egypt, Alexandria Branch. No cash payments shall be accepted under this Purchase Order.</w:t>
      </w:r>
    </w:p>
    <w:p>
      <w:pPr>
        <w:pStyle w:val="FirstParagraph"/>
      </w:pPr>
      <w:r>
        <w:t xml:space="preserve">5. Terms &amp; Conditions</w:t>
      </w:r>
    </w:p>
    <w:p>
      <w:pPr>
        <w:numPr>
          <w:ilvl w:val="0"/>
          <w:numId w:val="1002"/>
        </w:numPr>
        <w:pStyle w:val="Compact"/>
      </w:pPr>
      <w:r>
        <w:t xml:space="preserve">This Purchase Order is governed by the laws of the Arab Republic of Egypt, specifically the Egyptian Civil Code and the regulations of the Egyptian Syndicate of Engineers applicable to the Alexandria branch.</w:t>
      </w:r>
    </w:p>
    <w:p>
      <w:pPr>
        <w:numPr>
          <w:ilvl w:val="0"/>
          <w:numId w:val="1002"/>
        </w:numPr>
        <w:pStyle w:val="Compact"/>
      </w:pPr>
      <w:r>
        <w:t xml:space="preserve">The Architect warrants that all deliverables shall be original, free from intellectual property infringement, and compliant with the Alexandria Governorate's urban planning and zoning bylaws for the Corniche corridor.</w:t>
      </w:r>
    </w:p>
    <w:p>
      <w:pPr>
        <w:numPr>
          <w:ilvl w:val="0"/>
          <w:numId w:val="1002"/>
        </w:numPr>
        <w:pStyle w:val="Compact"/>
      </w:pPr>
      <w:r>
        <w:t xml:space="preserve">The Architect shall maintain professional liability insurance with a minimum coverage of EGP 5,000,000.00 for the duration of the project, naming the Buyer as an additional insured party.</w:t>
      </w:r>
    </w:p>
    <w:p>
      <w:pPr>
        <w:numPr>
          <w:ilvl w:val="0"/>
          <w:numId w:val="1002"/>
        </w:numPr>
        <w:pStyle w:val="Compact"/>
      </w:pPr>
      <w:r>
        <w:t xml:space="preserve">Any variation or change order to the scope of architectural services must be documented in writing and signed by both parties before execution. Verbal instructions shall not constitute a valid amendment to this Purchase Order.</w:t>
      </w:r>
    </w:p>
    <w:p>
      <w:pPr>
        <w:numPr>
          <w:ilvl w:val="0"/>
          <w:numId w:val="1002"/>
        </w:numPr>
        <w:pStyle w:val="Compact"/>
      </w:pPr>
      <w:r>
        <w:t xml:space="preserve">The Architect shall not subcontract any portion of the architectural design work without prior written consent from the Buyer. Supervision duties may be delegated to licensed assistant architects registered with the Alexandria branch of the Egyptian Syndicate of Engineers.</w:t>
      </w:r>
    </w:p>
    <w:p>
      <w:pPr>
        <w:numPr>
          <w:ilvl w:val="0"/>
          <w:numId w:val="1002"/>
        </w:numPr>
        <w:pStyle w:val="Compact"/>
      </w:pPr>
      <w:r>
        <w:t xml:space="preserve">Confidentiality: All project drawings, site data, and commercial information exchanged under this Purchase Order shall be treated as strictly confidential by the Architect and shall not be disclosed to third parties without the Buyer's written authorization.</w:t>
      </w:r>
    </w:p>
    <w:p>
      <w:pPr>
        <w:numPr>
          <w:ilvl w:val="0"/>
          <w:numId w:val="1002"/>
        </w:numPr>
        <w:pStyle w:val="Compact"/>
      </w:pPr>
      <w:r>
        <w:t xml:space="preserve">Dispute resolution: Any dispute arising from this Purchase Order shall first be subject to amicable negotiation. Failing resolution within 30 days, the matter shall be referred to arbitration under the rules of the Egyptian Arbitration Centre, with the seat of arbitration in Alexandria, Egypt.</w:t>
      </w:r>
    </w:p>
    <w:p>
      <w:pPr>
        <w:numPr>
          <w:ilvl w:val="0"/>
          <w:numId w:val="1002"/>
        </w:numPr>
        <w:pStyle w:val="Compact"/>
      </w:pPr>
      <w:r>
        <w:t xml:space="preserve">This Purchase Order shall remain in full force and effect until the completion of all obligations, including the 12-month warranty advisory period, unless terminated earlier in accordance with the termination clause.</w:t>
      </w:r>
    </w:p>
    <w:p>
      <w:pPr>
        <w:pStyle w:val="FirstParagraph"/>
      </w:pPr>
      <w:r>
        <w:t xml:space="preserve">[Official Stamp of Alexandria Coastal Development Group S.A.E.]</w:t>
      </w:r>
    </w:p>
    <w:p>
      <w:pPr>
        <w:pStyle w:val="BodyText"/>
      </w:pPr>
      <w:r>
        <w:rPr>
          <w:bCs/>
          <w:b/>
        </w:rPr>
        <w:t xml:space="preserve">For the Buyer:</w:t>
      </w:r>
      <w:r>
        <w:br/>
      </w:r>
      <w:r>
        <w:t xml:space="preserve">Eng. Mahmoud El-Sayed</w:t>
      </w:r>
      <w:r>
        <w:br/>
      </w:r>
      <w:r>
        <w:t xml:space="preserve">Project Director</w:t>
      </w:r>
      <w:r>
        <w:br/>
      </w:r>
      <w:r>
        <w:t xml:space="preserve">Alexandria Coastal Development Group S.A.E.</w:t>
      </w:r>
      <w:r>
        <w:br/>
      </w:r>
      <w:r>
        <w:t xml:space="preserve">Date: _______________</w:t>
      </w:r>
    </w:p>
    <w:p>
      <w:pPr>
        <w:pStyle w:val="BodyText"/>
      </w:pPr>
      <w:r>
        <w:rPr>
          <w:bCs/>
          <w:b/>
        </w:rPr>
        <w:t xml:space="preserve">For the Architect:</w:t>
      </w:r>
      <w:r>
        <w:br/>
      </w:r>
      <w:r>
        <w:t xml:space="preserve">Arch. Nourhan Abdel-Rahman</w:t>
      </w:r>
      <w:r>
        <w:br/>
      </w:r>
      <w:r>
        <w:t xml:space="preserve">Lead Architect</w:t>
      </w:r>
      <w:r>
        <w:br/>
      </w:r>
      <w:r>
        <w:t xml:space="preserve">Studio El-Pharos Architectural Design &amp; Consulting</w:t>
      </w:r>
      <w:r>
        <w:br/>
      </w:r>
      <w:r>
        <w:t xml:space="preserve">Date: _______________</w:t>
      </w:r>
    </w:p>
    <w:p>
      <w:pPr>
        <w:pStyle w:val="BodyText"/>
      </w:pPr>
      <w:r>
        <w:t xml:space="preserve">This Purchase Order (PO-EGY-ALX-2025-00472) is issued for Architectural Services in Alexandria, Egypt. It constitutes a binding agreement between the parties upon signature. All references to "the Architect" herein refer to the licensed professional and firm identified in Section 2. This document is valid only for the project located in Alexandria, Egypt, and shall not be transferred or assigned without mutual written consent.</w:t>
      </w:r>
    </w:p>
    <w:p>
      <w:pPr>
        <w:pStyle w:val="BodyText"/>
      </w:pPr>
      <w:r>
        <w:t xml:space="preserve">Document generated on 15 June 2025 | Page 1 of 1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Architect Services - Egypt Alexandria</dc:title>
  <dc:creator/>
  <dc:language>en</dc:language>
  <cp:keywords/>
  <dcterms:created xsi:type="dcterms:W3CDTF">2026-10-10T06:59:21Z</dcterms:created>
  <dcterms:modified xsi:type="dcterms:W3CDTF">2026-10-10T06:59:21Z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