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Architectural Design &amp; Consultation Services</w:t>
      </w:r>
    </w:p>
    <w:p>
      <w:pPr>
        <w:pStyle w:val="BodyText"/>
      </w:pPr>
      <w:r>
        <w:t xml:space="preserve">Issued in Egypt Cairo, Arab Republic of Egypt</w:t>
      </w:r>
    </w:p>
    <w:bookmarkEnd w:id="20"/>
    <w:p>
      <w:pPr>
        <w:pStyle w:val="BodyText"/>
      </w:pPr>
      <w:r>
        <w:rPr>
          <w:bCs/>
          <w:b/>
        </w:rPr>
        <w:t xml:space="preserve">Purchase Order No.:</w:t>
      </w:r>
      <w:r>
        <w:t xml:space="preserve"> </w:t>
      </w:r>
      <w:r>
        <w:t xml:space="preserve">PO-EGC-2025-04782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Authority:</w:t>
      </w:r>
      <w:r>
        <w:t xml:space="preserve"> </w:t>
      </w:r>
      <w:r>
        <w:t xml:space="preserve">Ministry of Housing and Urban Development</w:t>
      </w:r>
      <w:r>
        <w:br/>
      </w:r>
      <w:r>
        <w:rPr>
          <w:bCs/>
          <w:b/>
        </w:rPr>
        <w:t xml:space="preserve">Office Location:</w:t>
      </w:r>
      <w:r>
        <w:t xml:space="preserve"> </w:t>
      </w:r>
      <w:r>
        <w:t xml:space="preserve">12 Tahrir Square, Downtown, Egypt Cairo</w:t>
      </w:r>
      <w:r>
        <w:br/>
      </w:r>
      <w:r>
        <w:rPr>
          <w:bCs/>
          <w:b/>
        </w:rPr>
        <w:t xml:space="preserve">Registration No.:</w:t>
      </w:r>
      <w:r>
        <w:t xml:space="preserve"> </w:t>
      </w:r>
      <w:r>
        <w:t xml:space="preserve">EGC-MHUD-2019-3341</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Purchaser (Buyer)</w:t>
            </w:r>
          </w:p>
        </w:tc>
        <w:tc>
          <w:tcPr/>
          <w:p>
            <w:pPr>
              <w:pStyle w:val="Compact"/>
              <w:jc w:val="left"/>
            </w:pPr>
            <w:r>
              <w:t xml:space="preserve">Nile Delta Urban Development Authority</w:t>
            </w:r>
          </w:p>
        </w:tc>
        <w:tc>
          <w:tcPr/>
          <w:p>
            <w:pPr>
              <w:pStyle w:val="Compact"/>
              <w:jc w:val="left"/>
            </w:pPr>
            <w:r>
              <w:t xml:space="preserve">45 El-Nasr Street, Maadi District, Egypt Cairo 11211</w:t>
            </w:r>
          </w:p>
        </w:tc>
        <w:tc>
          <w:tcPr/>
          <w:p>
            <w:pPr>
              <w:pStyle w:val="Compact"/>
              <w:jc w:val="left"/>
            </w:pPr>
            <w:r>
              <w:t xml:space="preserve">procurement@nduda.gov.eg</w:t>
            </w:r>
            <w:r>
              <w:br/>
            </w:r>
            <w:r>
              <w:t xml:space="preserve">+20 2 2524 8890</w:t>
            </w:r>
          </w:p>
        </w:tc>
      </w:tr>
      <w:tr>
        <w:tc>
          <w:tcPr/>
          <w:p>
            <w:pPr>
              <w:pStyle w:val="Compact"/>
              <w:jc w:val="left"/>
            </w:pPr>
            <w:r>
              <w:rPr>
                <w:bCs/>
                <w:b/>
              </w:rPr>
              <w:t xml:space="preserve">Supplier (Architect)</w:t>
            </w:r>
          </w:p>
        </w:tc>
        <w:tc>
          <w:tcPr/>
          <w:p>
            <w:pPr>
              <w:pStyle w:val="Compact"/>
              <w:jc w:val="left"/>
            </w:pPr>
            <w:r>
              <w:t xml:space="preserve">Studio Al-Masri Architectural Design Firm</w:t>
            </w:r>
          </w:p>
        </w:tc>
        <w:tc>
          <w:tcPr/>
          <w:p>
            <w:pPr>
              <w:pStyle w:val="Compact"/>
              <w:jc w:val="left"/>
            </w:pPr>
            <w:r>
              <w:t xml:space="preserve">78 El-Gouna Road, Zamalek, Egypt Cairo 11511</w:t>
            </w:r>
          </w:p>
        </w:tc>
        <w:tc>
          <w:tcPr/>
          <w:p>
            <w:pPr>
              <w:pStyle w:val="Compact"/>
              <w:jc w:val="left"/>
            </w:pPr>
            <w:r>
              <w:t xml:space="preserve">info@almasri-arch.com</w:t>
            </w:r>
            <w:r>
              <w:br/>
            </w:r>
            <w:r>
              <w:t xml:space="preserve">+20 2 2735 6612</w:t>
            </w:r>
          </w:p>
        </w:tc>
      </w:tr>
    </w:tbl>
    <w:p>
      <w:pPr>
        <w:pStyle w:val="BodyText"/>
      </w:pPr>
      <w:r>
        <w:t xml:space="preserve">This</w:t>
      </w:r>
      <w:r>
        <w:t xml:space="preserve"> </w:t>
      </w:r>
      <w:r>
        <w:t xml:space="preserve">Purchase Order</w:t>
      </w:r>
      <w:r>
        <w:t xml:space="preserve"> </w:t>
      </w:r>
      <w:r>
        <w:t xml:space="preserve">is issued by the Nile Delta Urban Development Authority, a governmental body operating under the jurisdiction of the Arab Republic of Egypt, to formally engage the services of a licensed</w:t>
      </w:r>
      <w:r>
        <w:t xml:space="preserve"> </w:t>
      </w:r>
      <w:r>
        <w:t xml:space="preserve">Architect</w:t>
      </w:r>
      <w:r>
        <w:t xml:space="preserve"> </w:t>
      </w:r>
      <w:r>
        <w:t xml:space="preserve">and architectural design firm for the purpose of delivering comprehensive architectural planning, design, and supervision services for the New Maadi Residential Complex project located in Egypt Cairo.</w:t>
      </w:r>
    </w:p>
    <w:bookmarkEnd w:id="21"/>
    <w:bookmarkStart w:id="22" w:name="scope-of-architectural-services"/>
    <w:p>
      <w:pPr>
        <w:pStyle w:val="Heading2"/>
      </w:pPr>
      <w:r>
        <w:t xml:space="preserve">2. Scope of Architectural Services</w:t>
      </w:r>
    </w:p>
    <w:p>
      <w:pPr>
        <w:pStyle w:val="FirstParagraph"/>
      </w:pPr>
      <w:r>
        <w:t xml:space="preserve">The</w:t>
      </w:r>
      <w:r>
        <w:t xml:space="preserve"> </w:t>
      </w:r>
      <w:r>
        <w:t xml:space="preserve">Architect</w:t>
      </w:r>
      <w:r>
        <w:t xml:space="preserve"> </w:t>
      </w:r>
      <w:r>
        <w:t xml:space="preserve">engaged under this</w:t>
      </w:r>
      <w:r>
        <w:t xml:space="preserve"> </w:t>
      </w:r>
      <w:r>
        <w:t xml:space="preserve">Purchase Order</w:t>
      </w:r>
      <w:r>
        <w:t xml:space="preserve"> </w:t>
      </w:r>
      <w:r>
        <w:t xml:space="preserve">shall provide the following professional services in accordance with the Egyptian Building Code (Law No. 119 of 2008) and all applicable municipal regulations governing construction in Egypt Cairo: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Pre-design feasibility study and site analysis for the New Maadi Residential Complex, Egypt Cairo</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Conceptual architectural design including massing studies, orientation analysis, and preliminary floor plans</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Detailed architectural drawings (construction documents) including elevations, sections, and specifications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Structural coordination and MEP (Mechanical, Electrical, Plumbing) integration with the Architect's design intent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05</w:t>
            </w:r>
          </w:p>
        </w:tc>
        <w:tc>
          <w:tcPr/>
          <w:p>
            <w:pPr>
              <w:pStyle w:val="Compact"/>
              <w:jc w:val="left"/>
            </w:pPr>
            <w:r>
              <w:t xml:space="preserve">Construction-phase architectural supervision and site inspections (minimum 24 site visits)</w:t>
            </w:r>
          </w:p>
        </w:tc>
        <w:tc>
          <w:tcPr/>
          <w:p>
            <w:pPr>
              <w:pStyle w:val="Compact"/>
              <w:jc w:val="left"/>
            </w:pPr>
            <w:r>
              <w:t xml:space="preserve">24</w:t>
            </w:r>
          </w:p>
        </w:tc>
        <w:tc>
          <w:tcPr/>
          <w:p>
            <w:pPr>
              <w:pStyle w:val="Compact"/>
              <w:jc w:val="left"/>
            </w:pPr>
            <w:r>
              <w:t xml:space="preserve">Visits</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Final as-built documentation and handover package for municipal approval in Egypt Cairo</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left"/>
            </w:pPr>
            <w:r>
              <w:t xml:space="preserve">TOTAL CONTRACT VALUE</w:t>
            </w:r>
          </w:p>
        </w:tc>
        <w:tc>
          <w:tcPr/>
          <w:p>
            <w:pPr>
              <w:pStyle w:val="Compact"/>
              <w:jc w:val="left"/>
            </w:pPr>
            <w:r>
              <w:t xml:space="preserve">1,990,000 EGP</w:t>
            </w:r>
          </w:p>
        </w:tc>
      </w:tr>
    </w:tbl>
    <w:bookmarkEnd w:id="22"/>
    <w:bookmarkStart w:id="23" w:name="payment-terms-and-schedule"/>
    <w:p>
      <w:pPr>
        <w:pStyle w:val="Heading2"/>
      </w:pPr>
      <w:r>
        <w:t xml:space="preserve">3. Payment Terms and Schedule</w:t>
      </w:r>
    </w:p>
    <w:p>
      <w:pPr>
        <w:pStyle w:val="FirstParagraph"/>
      </w:pPr>
      <w:r>
        <w:t xml:space="preserve">All payments under this</w:t>
      </w:r>
      <w:r>
        <w:t xml:space="preserve"> </w:t>
      </w:r>
      <w:r>
        <w:t xml:space="preserve">Purchase Order</w:t>
      </w:r>
      <w:r>
        <w:t xml:space="preserve"> </w:t>
      </w:r>
      <w:r>
        <w:t xml:space="preserve">shall be made in Egyptian Pounds (EGP) via bank transfer to the account of the</w:t>
      </w:r>
      <w:r>
        <w:t xml:space="preserve"> </w:t>
      </w:r>
      <w:r>
        <w:t xml:space="preserve">Architect</w:t>
      </w:r>
      <w:r>
        <w:t xml:space="preserve"> </w:t>
      </w:r>
      <w:r>
        <w:t xml:space="preserve">firm as designated in Section 1. The payment schedule is structured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(EGP)</w:t>
            </w:r>
          </w:p>
        </w:tc>
        <w:tc>
          <w:tcPr/>
          <w:p>
            <w:pPr>
              <w:pStyle w:val="Compact"/>
              <w:jc w:val="left"/>
            </w:pPr>
            <w:r>
              <w:t xml:space="preserve">Payment Trigger</w:t>
            </w:r>
          </w:p>
        </w:tc>
      </w:tr>
      <w:tr>
        <w:tc>
          <w:tcPr/>
          <w:p>
            <w:pPr>
              <w:pStyle w:val="Compact"/>
              <w:jc w:val="left"/>
            </w:pPr>
            <w:r>
              <w:t xml:space="preserve">Advance Payment</w:t>
            </w:r>
          </w:p>
        </w:tc>
        <w:tc>
          <w:tcPr/>
          <w:p>
            <w:pPr>
              <w:pStyle w:val="Compact"/>
              <w:jc w:val="left"/>
            </w:pPr>
            <w:r>
              <w:t xml:space="preserve">20%</w:t>
            </w:r>
          </w:p>
        </w:tc>
        <w:tc>
          <w:tcPr/>
          <w:p>
            <w:pPr>
              <w:pStyle w:val="Compact"/>
              <w:jc w:val="left"/>
            </w:pPr>
            <w:r>
              <w:t xml:space="preserve">398,000</w:t>
            </w:r>
          </w:p>
        </w:tc>
        <w:tc>
          <w:tcPr/>
          <w:p>
            <w:pPr>
              <w:pStyle w:val="Compact"/>
              <w:jc w:val="left"/>
            </w:pPr>
            <w:r>
              <w:t xml:space="preserve">Upon signing of this Purchase Order</w:t>
            </w:r>
          </w:p>
        </w:tc>
      </w:tr>
      <w:tr>
        <w:tc>
          <w:tcPr/>
          <w:p>
            <w:pPr>
              <w:pStyle w:val="Compact"/>
              <w:jc w:val="left"/>
            </w:pPr>
            <w:r>
              <w:t xml:space="preserve">Conceptual Design Approval</w:t>
            </w:r>
          </w:p>
        </w:tc>
        <w:tc>
          <w:tcPr/>
          <w:p>
            <w:pPr>
              <w:pStyle w:val="Compact"/>
              <w:jc w:val="left"/>
            </w:pPr>
            <w:r>
              <w:t xml:space="preserve">25%</w:t>
            </w:r>
          </w:p>
        </w:tc>
        <w:tc>
          <w:tcPr/>
          <w:p>
            <w:pPr>
              <w:pStyle w:val="Compact"/>
              <w:jc w:val="left"/>
            </w:pPr>
            <w:r>
              <w:t xml:space="preserve">497,500</w:t>
            </w:r>
          </w:p>
        </w:tc>
        <w:tc>
          <w:tcPr/>
          <w:p>
            <w:pPr>
              <w:pStyle w:val="Compact"/>
              <w:jc w:val="left"/>
            </w:pPr>
            <w:r>
              <w:t xml:space="preserve">Written approval by the Purchaser's technical committee</w:t>
            </w:r>
          </w:p>
        </w:tc>
      </w:tr>
      <w:tr>
        <w:tc>
          <w:tcPr/>
          <w:p>
            <w:pPr>
              <w:pStyle w:val="Compact"/>
              <w:jc w:val="left"/>
            </w:pPr>
            <w:r>
              <w:t xml:space="preserve">Construction Documents Delivery</w:t>
            </w:r>
          </w:p>
        </w:tc>
        <w:tc>
          <w:tcPr/>
          <w:p>
            <w:pPr>
              <w:pStyle w:val="Compact"/>
              <w:jc w:val="left"/>
            </w:pPr>
            <w:r>
              <w:t xml:space="preserve">30%</w:t>
            </w:r>
          </w:p>
        </w:tc>
        <w:tc>
          <w:tcPr/>
          <w:p>
            <w:pPr>
              <w:pStyle w:val="Compact"/>
              <w:jc w:val="left"/>
            </w:pPr>
            <w:r>
              <w:t xml:space="preserve">597,000</w:t>
            </w:r>
          </w:p>
        </w:tc>
        <w:tc>
          <w:tcPr/>
          <w:p>
            <w:pPr>
              <w:pStyle w:val="Compact"/>
              <w:jc w:val="left"/>
            </w:pPr>
            <w:r>
              <w:t xml:space="preserve">Submission of full drawing set for municipal review in Egypt Cairo</w:t>
            </w:r>
          </w:p>
        </w:tc>
      </w:tr>
      <w:tr>
        <w:tc>
          <w:tcPr/>
          <w:p>
            <w:pPr>
              <w:pStyle w:val="Compact"/>
              <w:jc w:val="left"/>
            </w:pPr>
            <w:r>
              <w:t xml:space="preserve">Construction Supervision Completion</w:t>
            </w:r>
          </w:p>
        </w:tc>
        <w:tc>
          <w:tcPr/>
          <w:p>
            <w:pPr>
              <w:pStyle w:val="Compact"/>
              <w:jc w:val="left"/>
            </w:pPr>
            <w:r>
              <w:t xml:space="preserve">15%</w:t>
            </w:r>
          </w:p>
        </w:tc>
        <w:tc>
          <w:tcPr/>
          <w:p>
            <w:pPr>
              <w:pStyle w:val="Compact"/>
              <w:jc w:val="left"/>
            </w:pPr>
            <w:r>
              <w:t xml:space="preserve">298,500</w:t>
            </w:r>
          </w:p>
        </w:tc>
        <w:tc>
          <w:tcPr/>
          <w:p>
            <w:pPr>
              <w:pStyle w:val="Compact"/>
              <w:jc w:val="left"/>
            </w:pPr>
            <w:r>
              <w:t xml:space="preserve">Completion of all 24 site visits and final inspection report</w:t>
            </w:r>
          </w:p>
        </w:tc>
      </w:tr>
      <w:tr>
        <w:tc>
          <w:tcPr/>
          <w:p>
            <w:pPr>
              <w:pStyle w:val="Compact"/>
              <w:jc w:val="left"/>
            </w:pPr>
            <w:r>
              <w:t xml:space="preserve">As-Built Handover</w:t>
            </w:r>
          </w:p>
        </w:tc>
        <w:tc>
          <w:tcPr/>
          <w:p>
            <w:pPr>
              <w:pStyle w:val="Compact"/>
              <w:jc w:val="left"/>
            </w:pPr>
            <w:r>
              <w:t xml:space="preserve">10%</w:t>
            </w:r>
          </w:p>
        </w:tc>
        <w:tc>
          <w:tcPr/>
          <w:p>
            <w:pPr>
              <w:pStyle w:val="Compact"/>
              <w:jc w:val="left"/>
            </w:pPr>
            <w:r>
              <w:t xml:space="preserve">199,000</w:t>
            </w:r>
          </w:p>
        </w:tc>
        <w:tc>
          <w:tcPr/>
          <w:p>
            <w:pPr>
              <w:pStyle w:val="Compact"/>
              <w:jc w:val="left"/>
            </w:pPr>
            <w:r>
              <w:t xml:space="preserve">Final municipal approval and project handover</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Arab Republic of Egypt, specifically the Egyptian Civil Code and the Public Procurement Law (Law No. 182 of 2018). Any disputes arising from this engagement shall be resolved by the competent courts in Egypt Cairo.</w:t>
      </w:r>
    </w:p>
    <w:p>
      <w:pPr>
        <w:numPr>
          <w:ilvl w:val="0"/>
          <w:numId w:val="1001"/>
        </w:numPr>
        <w:pStyle w:val="Compact"/>
      </w:pPr>
      <w:r>
        <w:rPr>
          <w:bCs/>
          <w:b/>
        </w:rPr>
        <w:t xml:space="preserve">Licensing:</w:t>
      </w:r>
      <w:r>
        <w:t xml:space="preserve"> </w:t>
      </w:r>
      <w:r>
        <w:t xml:space="preserve">The</w:t>
      </w:r>
      <w:r>
        <w:t xml:space="preserve"> </w:t>
      </w:r>
      <w:r>
        <w:t xml:space="preserve">Architect</w:t>
      </w:r>
      <w:r>
        <w:t xml:space="preserve"> </w:t>
      </w:r>
      <w:r>
        <w:t xml:space="preserve">firm shall maintain a valid license issued by the Egyptian Syndicate of Engineers throughout the duration of this</w:t>
      </w:r>
      <w:r>
        <w:t xml:space="preserve"> </w:t>
      </w:r>
      <w:r>
        <w:t xml:space="preserve">Purchase Order</w:t>
      </w:r>
      <w:r>
        <w:t xml:space="preserve">. A certified copy of the license shall be attached as Annex A.</w:t>
      </w:r>
    </w:p>
    <w:p>
      <w:pPr>
        <w:numPr>
          <w:ilvl w:val="0"/>
          <w:numId w:val="1001"/>
        </w:numPr>
        <w:pStyle w:val="Compact"/>
      </w:pPr>
      <w:r>
        <w:rPr>
          <w:bCs/>
          <w:b/>
        </w:rPr>
        <w:t xml:space="preserve">Timeline:</w:t>
      </w:r>
      <w:r>
        <w:t xml:space="preserve"> </w:t>
      </w:r>
      <w:r>
        <w:t xml:space="preserve">The</w:t>
      </w:r>
      <w:r>
        <w:t xml:space="preserve"> </w:t>
      </w:r>
      <w:r>
        <w:t xml:space="preserve">Architect</w:t>
      </w:r>
      <w:r>
        <w:t xml:space="preserve"> </w:t>
      </w:r>
      <w:r>
        <w:t xml:space="preserve">shall complete all design phases within fourteen (14) calendar months from the date of this</w:t>
      </w:r>
      <w:r>
        <w:t xml:space="preserve"> </w:t>
      </w:r>
      <w:r>
        <w:t xml:space="preserve">Purchase Order</w:t>
      </w:r>
      <w:r>
        <w:t xml:space="preserve">. Construction supervision shall extend for an additional eight (8) months. Delays exceeding fifteen (15) days without written justification shall incur a penalty of 0.5% of the total contract value per week.</w:t>
      </w:r>
    </w:p>
    <w:p>
      <w:pPr>
        <w:numPr>
          <w:ilvl w:val="0"/>
          <w:numId w:val="1001"/>
        </w:numPr>
        <w:pStyle w:val="Compact"/>
      </w:pPr>
      <w:r>
        <w:rPr>
          <w:bCs/>
          <w:b/>
        </w:rPr>
        <w:t xml:space="preserve">Intellectual Property:</w:t>
      </w:r>
      <w:r>
        <w:t xml:space="preserve"> </w:t>
      </w:r>
      <w:r>
        <w:t xml:space="preserve">All architectural drawings, models, and design documents produced under this</w:t>
      </w:r>
      <w:r>
        <w:t xml:space="preserve"> </w:t>
      </w:r>
      <w:r>
        <w:t xml:space="preserve">Purchase Order</w:t>
      </w:r>
      <w:r>
        <w:t xml:space="preserve"> </w:t>
      </w:r>
      <w:r>
        <w:t xml:space="preserve">shall become the exclusive property of the Purchaser upon full payment. The</w:t>
      </w:r>
      <w:r>
        <w:t xml:space="preserve"> </w:t>
      </w:r>
      <w:r>
        <w:t xml:space="preserve">Architect</w:t>
      </w:r>
      <w:r>
        <w:t xml:space="preserve"> </w:t>
      </w:r>
      <w:r>
        <w:t xml:space="preserve">retains the right to reference the project in professional portfolios with prior written consent.</w:t>
      </w:r>
    </w:p>
    <w:p>
      <w:pPr>
        <w:numPr>
          <w:ilvl w:val="0"/>
          <w:numId w:val="1001"/>
        </w:numPr>
        <w:pStyle w:val="Compact"/>
      </w:pPr>
      <w:r>
        <w:rPr>
          <w:bCs/>
          <w:b/>
        </w:rPr>
        <w:t xml:space="preserve">Compliance with Egypt Cairo Regulations:</w:t>
      </w:r>
      <w:r>
        <w:t xml:space="preserve"> </w:t>
      </w:r>
      <w:r>
        <w:t xml:space="preserve">All designs must comply with the zoning regulations, setback requirements, and height restrictions enforced by the Cairo Governorate's Urban Planning Department. The</w:t>
      </w:r>
      <w:r>
        <w:t xml:space="preserve"> </w:t>
      </w:r>
      <w:r>
        <w:t xml:space="preserve">Architect</w:t>
      </w:r>
      <w:r>
        <w:t xml:space="preserve"> </w:t>
      </w:r>
      <w:r>
        <w:t xml:space="preserve">is responsible for obtaining all necessary municipal permits in Egypt Cairo.</w:t>
      </w:r>
    </w:p>
    <w:p>
      <w:pPr>
        <w:numPr>
          <w:ilvl w:val="0"/>
          <w:numId w:val="1001"/>
        </w:numPr>
        <w:pStyle w:val="Compact"/>
      </w:pPr>
      <w:r>
        <w:rPr>
          <w:bCs/>
          <w:b/>
        </w:rPr>
        <w:t xml:space="preserve">Insurance:</w:t>
      </w:r>
      <w:r>
        <w:t xml:space="preserve"> </w:t>
      </w:r>
      <w:r>
        <w:t xml:space="preserve">The</w:t>
      </w:r>
      <w:r>
        <w:t xml:space="preserve"> </w:t>
      </w:r>
      <w:r>
        <w:t xml:space="preserve">Architect</w:t>
      </w:r>
      <w:r>
        <w:t xml:space="preserve"> </w:t>
      </w:r>
      <w:r>
        <w:t xml:space="preserve">shall maintain professional indemnity insurance with a minimum coverage of EGP 5,000,000 for the duration of the project.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Architect</w:t>
      </w:r>
      <w:r>
        <w:t xml:space="preserve"> </w:t>
      </w:r>
      <w:r>
        <w:t xml:space="preserve">shall be compensated for all work completed and approved up to the termination date.</w:t>
      </w:r>
    </w:p>
    <w:p>
      <w:pPr>
        <w:numPr>
          <w:ilvl w:val="0"/>
          <w:numId w:val="1001"/>
        </w:numPr>
        <w:pStyle w:val="Compact"/>
      </w:pPr>
      <w:r>
        <w:rPr>
          <w:bCs/>
          <w:b/>
        </w:rPr>
        <w:t xml:space="preserve">Confidentiality:</w:t>
      </w:r>
      <w:r>
        <w:t xml:space="preserve"> </w:t>
      </w:r>
      <w:r>
        <w:t xml:space="preserve">Both parties agree to maintain strict confidentiality regarding project details, site plans, and proprietary information related to this engagement in Egypt Cairo.</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the</w:t>
      </w:r>
      <w:r>
        <w:t xml:space="preserve"> </w:t>
      </w:r>
      <w:r>
        <w:t xml:space="preserve">Architect</w:t>
      </w:r>
      <w:r>
        <w:t xml:space="preserve"> </w:t>
      </w:r>
      <w:r>
        <w:t xml:space="preserve">firm for the New Maadi Residential Complex project in Egypt Cairo. This document constitutes a binding agreement effective from the date of the last signature.</w:t>
      </w:r>
    </w:p>
    <w:p>
      <w:pPr>
        <w:pStyle w:val="BodyText"/>
      </w:pPr>
      <w:r>
        <w:rPr>
          <w:bCs/>
          <w:b/>
        </w:rPr>
        <w:t xml:space="preserve">For the Purchaser:</w:t>
      </w:r>
      <w:r>
        <w:br/>
      </w:r>
      <w:r>
        <w:t xml:space="preserve">Nile Delta Urban Development Authority</w:t>
      </w:r>
    </w:p>
    <w:p>
      <w:pPr>
        <w:pStyle w:val="BodyText"/>
      </w:pPr>
      <w:r>
        <w:t xml:space="preserve">Name: Eng. Hassan El-Sayed</w:t>
      </w:r>
      <w:r>
        <w:br/>
      </w:r>
      <w:r>
        <w:t xml:space="preserve">Title: Director of Procurement</w:t>
      </w:r>
      <w:r>
        <w:br/>
      </w:r>
      <w:r>
        <w:t xml:space="preserve">Signature &amp; Official Seal: _________________________</w:t>
      </w:r>
      <w:r>
        <w:br/>
      </w:r>
      <w:r>
        <w:t xml:space="preserve">Date: _______________</w:t>
      </w:r>
    </w:p>
    <w:p>
      <w:pPr>
        <w:pStyle w:val="BodyText"/>
      </w:pPr>
      <w:r>
        <w:rPr>
          <w:bCs/>
          <w:b/>
        </w:rPr>
        <w:t xml:space="preserve">For the Architect (Supplier):</w:t>
      </w:r>
      <w:r>
        <w:br/>
      </w:r>
      <w:r>
        <w:t xml:space="preserve">Studio Al-Masri Architectural Design Firm</w:t>
      </w:r>
    </w:p>
    <w:p>
      <w:pPr>
        <w:pStyle w:val="BodyText"/>
      </w:pPr>
      <w:r>
        <w:t xml:space="preserve">Name: Arch. Layla Al-Masri</w:t>
      </w:r>
      <w:r>
        <w:br/>
      </w:r>
      <w:r>
        <w:t xml:space="preserve">Title: Principal Architect, License No. EGC-2014-7782</w:t>
      </w:r>
      <w:r>
        <w:br/>
      </w:r>
      <w:r>
        <w:t xml:space="preserve">Signature &amp; Firm Stamp: _________________________</w:t>
      </w:r>
      <w:r>
        <w:br/>
      </w:r>
      <w:r>
        <w:t xml:space="preserve">Date: _______________</w:t>
      </w:r>
    </w:p>
    <w:bookmarkEnd w:id="25"/>
    <w:p>
      <w:pPr>
        <w:pStyle w:val="BodyText"/>
      </w:pPr>
      <w:r>
        <w:t xml:space="preserve">This Purchase Order (PO-EGC-2025-04782) was prepared and issued in Egypt Cairo, Arab Republic of Egypt. All references to "Egypt Cairo" in this document denote the city of Cairo and its metropolitan administrative jurisdiction. This document is valid for a period of ninety (90) days from the date of issue. For inquiries, contact the Procurement Department at the address listed above.</w:t>
      </w:r>
    </w:p>
    <w:p>
      <w:pPr>
        <w:pStyle w:val="BodyText"/>
      </w:pPr>
      <w:r>
        <w:t xml:space="preserve">© 2025 Nile Delta Urban Development Authority —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Egypt Cairo</dc:title>
  <dc:creator/>
  <dc:language>en</dc:language>
  <cp:keywords/>
  <dcterms:created xsi:type="dcterms:W3CDTF">2026-10-10T03:01:46Z</dcterms:created>
  <dcterms:modified xsi:type="dcterms:W3CDTF">2026-10-10T03:01:46Z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